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ascii="黑体" w:hAnsi="黑体" w:eastAsia="黑体"/>
          <w:b/>
          <w:bCs/>
          <w:sz w:val="32"/>
          <w:szCs w:val="32"/>
        </w:rPr>
      </w:pPr>
      <w:r>
        <w:rPr>
          <w:rFonts w:hint="eastAsia" w:ascii="黑体" w:hAnsi="黑体" w:eastAsia="黑体"/>
          <w:b/>
          <w:bCs/>
          <w:spacing w:val="0"/>
          <w:w w:val="98"/>
          <w:kern w:val="0"/>
          <w:sz w:val="32"/>
          <w:szCs w:val="32"/>
          <w:fitText w:val="8507" w:id="1993521920"/>
        </w:rPr>
        <w:t>混合式教学方法在建筑类专业《美术基础》课程中的应用探</w:t>
      </w:r>
      <w:r>
        <w:rPr>
          <w:rFonts w:hint="eastAsia" w:ascii="黑体" w:hAnsi="黑体" w:eastAsia="黑体"/>
          <w:b/>
          <w:bCs/>
          <w:spacing w:val="-12"/>
          <w:w w:val="98"/>
          <w:kern w:val="0"/>
          <w:sz w:val="32"/>
          <w:szCs w:val="32"/>
          <w:fitText w:val="8507" w:id="1993521920"/>
        </w:rPr>
        <w:t>索</w:t>
      </w:r>
      <w:r>
        <w:rPr>
          <w:rStyle w:val="9"/>
          <w:rFonts w:ascii="黑体" w:hAnsi="黑体" w:eastAsia="黑体"/>
          <w:b/>
          <w:bCs/>
          <w:spacing w:val="-8"/>
          <w:w w:val="98"/>
          <w:kern w:val="0"/>
          <w:sz w:val="32"/>
          <w:szCs w:val="32"/>
        </w:rPr>
        <w:footnoteReference w:id="0"/>
      </w:r>
    </w:p>
    <w:p>
      <w:pPr>
        <w:spacing w:before="240" w:line="440" w:lineRule="exact"/>
        <w:jc w:val="center"/>
        <w:rPr>
          <w:rFonts w:ascii="宋体" w:hAnsi="宋体"/>
          <w:szCs w:val="21"/>
        </w:rPr>
      </w:pPr>
      <w:r>
        <w:rPr>
          <w:rFonts w:hint="eastAsia" w:ascii="宋体" w:hAnsi="宋体"/>
          <w:szCs w:val="21"/>
        </w:rPr>
        <w:t>韩聪，周霞，宋欣，李霞</w:t>
      </w:r>
    </w:p>
    <w:p>
      <w:pPr>
        <w:spacing w:line="440" w:lineRule="exact"/>
        <w:jc w:val="center"/>
        <w:rPr>
          <w:rFonts w:ascii="宋体" w:hAnsi="宋体"/>
          <w:szCs w:val="21"/>
        </w:rPr>
      </w:pPr>
      <w:r>
        <w:rPr>
          <w:rFonts w:hint="eastAsia" w:ascii="宋体" w:hAnsi="宋体"/>
          <w:szCs w:val="21"/>
        </w:rPr>
        <w:t xml:space="preserve">（北京城市学院城市建设学部， 北京 </w:t>
      </w:r>
      <w:r>
        <w:rPr>
          <w:rFonts w:ascii="宋体" w:hAnsi="宋体"/>
          <w:szCs w:val="21"/>
        </w:rPr>
        <w:t>101399</w:t>
      </w:r>
      <w:r>
        <w:rPr>
          <w:rFonts w:hint="eastAsia" w:ascii="宋体" w:hAnsi="宋体"/>
          <w:szCs w:val="21"/>
        </w:rPr>
        <w:t>）</w:t>
      </w:r>
    </w:p>
    <w:p>
      <w:pPr>
        <w:spacing w:line="440" w:lineRule="exact"/>
        <w:jc w:val="center"/>
        <w:rPr>
          <w:rFonts w:ascii="仿宋_GB2312" w:hAnsi="仿宋" w:eastAsia="仿宋_GB2312"/>
          <w:sz w:val="28"/>
          <w:szCs w:val="28"/>
        </w:rPr>
      </w:pPr>
    </w:p>
    <w:p>
      <w:pPr>
        <w:spacing w:before="156" w:beforeLines="50" w:line="440" w:lineRule="exact"/>
        <w:ind w:firstLine="422" w:firstLineChars="200"/>
        <w:rPr>
          <w:rFonts w:ascii="宋体" w:hAnsi="宋体"/>
          <w:szCs w:val="21"/>
        </w:rPr>
      </w:pPr>
      <w:r>
        <w:rPr>
          <w:rFonts w:hint="eastAsia" w:ascii="宋体" w:hAnsi="宋体"/>
          <w:b/>
          <w:bCs/>
          <w:szCs w:val="21"/>
        </w:rPr>
        <w:t>摘要：</w:t>
      </w:r>
      <w:r>
        <w:rPr>
          <w:rFonts w:hint="eastAsia" w:ascii="宋体" w:hAnsi="宋体"/>
          <w:szCs w:val="21"/>
        </w:rPr>
        <w:t>混合式教学是当前高校教学改革的一个重要研究方向，但建筑类专业美术课程的相关研究还处于起步和探索阶段。混合式教学将先进的现代化教育方法与传统的课堂教学模式相结合，突破传统教学时间与空间的限制，有效实现教学平台与优质资源的拓展，将课前、课中、课后学习全过程线上加线下进行充分融合，更加高效的提升学生美学素质、提高教学质量。</w:t>
      </w:r>
    </w:p>
    <w:p>
      <w:pPr>
        <w:spacing w:line="400" w:lineRule="exact"/>
        <w:ind w:firstLine="422" w:firstLineChars="200"/>
        <w:rPr>
          <w:rFonts w:ascii="宋体" w:hAnsi="宋体"/>
          <w:szCs w:val="21"/>
        </w:rPr>
      </w:pPr>
      <w:r>
        <w:rPr>
          <w:rFonts w:hint="eastAsia" w:ascii="宋体" w:hAnsi="宋体"/>
          <w:b/>
          <w:bCs/>
          <w:szCs w:val="21"/>
        </w:rPr>
        <w:t>关键词：</w:t>
      </w:r>
      <w:r>
        <w:rPr>
          <w:rFonts w:hint="eastAsia" w:ascii="宋体" w:hAnsi="宋体"/>
          <w:szCs w:val="21"/>
        </w:rPr>
        <w:t>混合式教学，建筑类，美术基础</w:t>
      </w:r>
    </w:p>
    <w:p>
      <w:pPr>
        <w:spacing w:line="400" w:lineRule="exact"/>
        <w:ind w:firstLine="422" w:firstLineChars="200"/>
        <w:rPr>
          <w:rFonts w:ascii="宋体" w:hAnsi="宋体"/>
          <w:b/>
          <w:bCs/>
          <w:szCs w:val="21"/>
        </w:rPr>
      </w:pPr>
      <w:r>
        <w:rPr>
          <w:rFonts w:hint="eastAsia" w:ascii="宋体" w:hAnsi="宋体"/>
          <w:b/>
          <w:bCs/>
          <w:szCs w:val="21"/>
        </w:rPr>
        <w:t>中图分类号：</w:t>
      </w:r>
      <w:r>
        <w:rPr>
          <w:rFonts w:hint="eastAsia" w:ascii="宋体" w:hAnsi="宋体"/>
          <w:szCs w:val="21"/>
        </w:rPr>
        <w:t>G</w:t>
      </w:r>
      <w:r>
        <w:rPr>
          <w:rFonts w:ascii="宋体" w:hAnsi="宋体"/>
          <w:szCs w:val="21"/>
        </w:rPr>
        <w:t xml:space="preserve">642    </w:t>
      </w:r>
      <w:r>
        <w:rPr>
          <w:rFonts w:hint="eastAsia" w:ascii="宋体" w:hAnsi="宋体"/>
          <w:b/>
          <w:bCs/>
          <w:szCs w:val="21"/>
        </w:rPr>
        <w:t>文献标识码：</w:t>
      </w:r>
      <w:r>
        <w:rPr>
          <w:rFonts w:hint="eastAsia" w:ascii="宋体" w:hAnsi="宋体"/>
          <w:szCs w:val="21"/>
        </w:rPr>
        <w:t>A</w:t>
      </w:r>
      <w:r>
        <w:rPr>
          <w:rFonts w:ascii="宋体" w:hAnsi="宋体"/>
          <w:szCs w:val="21"/>
        </w:rPr>
        <w:t xml:space="preserve">   </w:t>
      </w:r>
      <w:r>
        <w:rPr>
          <w:rFonts w:hint="eastAsia" w:ascii="宋体" w:hAnsi="宋体"/>
          <w:b/>
          <w:bCs/>
          <w:szCs w:val="21"/>
        </w:rPr>
        <w:t>文章编号：</w:t>
      </w:r>
    </w:p>
    <w:p>
      <w:pPr>
        <w:spacing w:line="400" w:lineRule="exact"/>
        <w:ind w:firstLine="422" w:firstLineChars="200"/>
        <w:rPr>
          <w:rFonts w:ascii="宋体" w:hAnsi="宋体"/>
          <w:b/>
          <w:bCs/>
          <w:szCs w:val="21"/>
        </w:rPr>
      </w:pPr>
    </w:p>
    <w:p>
      <w:pPr>
        <w:spacing w:before="156" w:beforeLines="50" w:line="440" w:lineRule="exact"/>
        <w:ind w:firstLine="482" w:firstLineChars="200"/>
        <w:rPr>
          <w:rFonts w:ascii="宋体" w:hAnsi="宋体"/>
          <w:b/>
          <w:bCs/>
          <w:sz w:val="24"/>
          <w:szCs w:val="24"/>
        </w:rPr>
      </w:pPr>
      <w:r>
        <w:rPr>
          <w:rFonts w:hint="eastAsia" w:ascii="宋体" w:hAnsi="宋体"/>
          <w:b/>
          <w:bCs/>
          <w:sz w:val="24"/>
          <w:szCs w:val="24"/>
        </w:rPr>
        <w:t>一、混合式教学方法提出背景</w:t>
      </w:r>
    </w:p>
    <w:p>
      <w:pPr>
        <w:spacing w:line="400" w:lineRule="exact"/>
        <w:ind w:firstLine="420" w:firstLineChars="200"/>
        <w:rPr>
          <w:rFonts w:ascii="宋体" w:hAnsi="宋体"/>
          <w:szCs w:val="21"/>
          <w:vertAlign w:val="superscript"/>
        </w:rPr>
      </w:pPr>
      <w:r>
        <w:rPr>
          <w:rFonts w:hint="eastAsia" w:ascii="宋体" w:hAnsi="宋体"/>
          <w:szCs w:val="21"/>
        </w:rPr>
        <w:t>近年来，随着信息技术的高速发展，互联网为高等教育提供了新的平台和先进的教学方法以及丰富的教学资源。互联网技术支持下的混合式教学是将传统课堂与在线教育紧密结合，将线上课程与线下课程相结合的新型教学方式。北京师范大学何克抗教授认为，“混合式教学将传统教与学方式的优势和E-Learning（数字化或网络化教与学方式）的优势结合起来，既发挥了教师启发、引导、监控教学过程的主导作用，又充分体现了学生作为学习过程主体的主动性、积极性与创造性”</w:t>
      </w:r>
      <w:r>
        <w:rPr>
          <w:rFonts w:hint="eastAsia" w:ascii="宋体" w:hAnsi="宋体"/>
          <w:szCs w:val="21"/>
          <w:vertAlign w:val="superscript"/>
        </w:rPr>
        <w:t xml:space="preserve"> </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建筑类专业包含建筑学、城乡规划、风景园林等专业，根据相关调研资料研究表明，自混合式教学改革推进以来，建筑类专业已开展多门课程的混合式课改，如《景观设计》、《建筑设计》等，也有部分院校开展了美术类课程的相关混合式课改，但大多是艺术类专业下的美术课程，针对建筑类专业美术基础课程进行的混合式课改还处于起步和探索阶段。</w:t>
      </w:r>
    </w:p>
    <w:p>
      <w:pPr>
        <w:pStyle w:val="10"/>
        <w:numPr>
          <w:ilvl w:val="0"/>
          <w:numId w:val="1"/>
        </w:numPr>
        <w:spacing w:before="156" w:beforeLines="50" w:line="440" w:lineRule="exact"/>
        <w:ind w:firstLineChars="0"/>
        <w:rPr>
          <w:rFonts w:ascii="宋体" w:hAnsi="宋体"/>
          <w:b/>
          <w:bCs/>
          <w:sz w:val="24"/>
          <w:szCs w:val="24"/>
        </w:rPr>
      </w:pPr>
      <w:r>
        <w:rPr>
          <w:rFonts w:hint="eastAsia" w:ascii="宋体" w:hAnsi="宋体"/>
          <w:b/>
          <w:bCs/>
          <w:sz w:val="24"/>
          <w:szCs w:val="24"/>
        </w:rPr>
        <w:t>建筑类专业《美术基础》混合式教学的必要性</w:t>
      </w:r>
    </w:p>
    <w:p>
      <w:pPr>
        <w:spacing w:line="400" w:lineRule="exact"/>
        <w:ind w:firstLine="420" w:firstLineChars="200"/>
        <w:rPr>
          <w:rFonts w:ascii="宋体" w:hAnsi="宋体"/>
          <w:szCs w:val="21"/>
        </w:rPr>
      </w:pPr>
      <w:r>
        <w:rPr>
          <w:rFonts w:hint="eastAsia" w:ascii="宋体" w:hAnsi="宋体"/>
          <w:szCs w:val="21"/>
        </w:rPr>
        <w:t>建筑类专业大部分开设于工科类院校，学生的艺术素养较之美术系学生薄弱。笔者经过调研，建筑类专业学生大多是理工、文史类，90%没有美术基础，其余10%的学生仅在中小学阶段作为课外兴趣班有过学习经历，整体来说基础较弱。但是，《美术基础》是建筑类专业学生必修的专业基础课程之一，培养学生对物体形体结构、色彩的感知能力、塑造能力，提高学生的艺术素养和审美能力，开发设计思维与创造能力，对建筑类学生后续专业设计具有非常重要的基础作用。相比传统课堂授课模式，网络学习的方式更能吸引“零零后”学生的学习兴趣。下面主要从：教学时间、教学方法、教学资源三个方面对《美术基础》的混合式课程改革必要性进行论证：</w:t>
      </w:r>
    </w:p>
    <w:p>
      <w:pPr>
        <w:spacing w:line="400" w:lineRule="exact"/>
        <w:ind w:firstLine="422" w:firstLineChars="200"/>
        <w:rPr>
          <w:rFonts w:ascii="宋体" w:hAnsi="宋体"/>
          <w:szCs w:val="21"/>
        </w:rPr>
      </w:pPr>
      <w:r>
        <w:rPr>
          <w:rFonts w:hint="eastAsia" w:ascii="宋体" w:hAnsi="宋体"/>
          <w:b/>
          <w:bCs/>
          <w:szCs w:val="21"/>
          <w:lang w:val="en-US" w:eastAsia="zh-CN"/>
        </w:rPr>
        <w:t>1、</w:t>
      </w:r>
      <w:r>
        <w:rPr>
          <w:rFonts w:hint="eastAsia" w:ascii="宋体" w:hAnsi="宋体"/>
          <w:b/>
          <w:bCs/>
          <w:szCs w:val="21"/>
        </w:rPr>
        <w:t>教学时间方面：教学时间以及教学空间受限，无法保障师生面对面一对一的交流频率</w:t>
      </w:r>
    </w:p>
    <w:p>
      <w:pPr>
        <w:spacing w:line="400" w:lineRule="exact"/>
        <w:ind w:firstLine="421"/>
        <w:rPr>
          <w:rFonts w:ascii="宋体" w:hAnsi="宋体"/>
          <w:szCs w:val="21"/>
        </w:rPr>
      </w:pPr>
      <w:r>
        <w:rPr>
          <w:rFonts w:hint="eastAsia" w:ascii="宋体" w:hAnsi="宋体"/>
          <w:szCs w:val="21"/>
          <w:lang w:bidi="ar"/>
        </w:rPr>
        <w:t>《美术基础》是建筑类专业的一门专业基础课，课程实践性较强。对于非艺术类的学生来说，美术基础薄弱，学生在课堂上的练习时间有限。由于艺术的独特性美术教学需要教师一对一对学生进行“个性化”指导，但课堂时间有限，课上无法满足教师对每位学生的指导，且教学空间仅限于画室和专业绘图室，教师对于学生面对面一对一的交流频率受到限制，传统的课堂教学已经远远不能满足老师教、学生学的实际需要。</w:t>
      </w:r>
    </w:p>
    <w:p>
      <w:pPr>
        <w:spacing w:line="400" w:lineRule="exact"/>
        <w:ind w:firstLine="422" w:firstLineChars="200"/>
        <w:rPr>
          <w:rFonts w:ascii="宋体" w:hAnsi="宋体" w:cs="宋体"/>
          <w:b/>
          <w:szCs w:val="21"/>
        </w:rPr>
      </w:pPr>
      <w:r>
        <w:rPr>
          <w:rFonts w:hint="eastAsia" w:ascii="宋体" w:hAnsi="宋体" w:cs="宋体"/>
          <w:b/>
          <w:szCs w:val="21"/>
          <w:lang w:val="en-US" w:eastAsia="zh-CN" w:bidi="ar"/>
        </w:rPr>
        <w:t>2、</w:t>
      </w:r>
      <w:r>
        <w:rPr>
          <w:rFonts w:hint="eastAsia" w:ascii="宋体" w:hAnsi="宋体" w:cs="宋体"/>
          <w:b/>
          <w:szCs w:val="21"/>
          <w:lang w:bidi="ar"/>
        </w:rPr>
        <w:t>教学方法方面：传统授课方式较单一，无法把控学生学习全过程</w:t>
      </w:r>
    </w:p>
    <w:p>
      <w:pPr>
        <w:widowControl/>
        <w:spacing w:line="400" w:lineRule="exact"/>
        <w:rPr>
          <w:rFonts w:ascii="宋体" w:hAnsi="宋体"/>
          <w:szCs w:val="21"/>
        </w:rPr>
      </w:pPr>
      <w:r>
        <w:rPr>
          <w:rFonts w:hint="eastAsia" w:ascii="宋体" w:hAnsi="宋体"/>
          <w:b/>
          <w:szCs w:val="21"/>
          <w:lang w:bidi="ar"/>
        </w:rPr>
        <w:t xml:space="preserve">   </w:t>
      </w:r>
      <w:r>
        <w:rPr>
          <w:rFonts w:hint="eastAsia" w:ascii="宋体" w:hAnsi="宋体"/>
          <w:szCs w:val="21"/>
        </w:rPr>
        <w:t xml:space="preserve"> 传统的教学授课方式较单一，以多媒体课件和教师示范为主，结合学生练习、教师点评，但美术课程更多的需要学生课下练习，积累绘画经验，拓展视野，提高美学素养，教师无法实时把控学生课下学习情况，无法及时指导学生。现代社会网络资源丰富，尤其建筑类经典案例的实时共享亟需多方手段共同推进。所以，改变传统的单一教学方式，实现线上线下多元化的教学手段，综合利用多渠道延长教学时间，拓展教学空间，提升学生学习兴趣，提高教学质量亟待推行。</w:t>
      </w:r>
    </w:p>
    <w:p>
      <w:pPr>
        <w:spacing w:line="400" w:lineRule="exact"/>
        <w:ind w:firstLine="422" w:firstLineChars="200"/>
        <w:rPr>
          <w:rFonts w:ascii="宋体" w:hAnsi="宋体"/>
          <w:b/>
          <w:bCs/>
          <w:szCs w:val="21"/>
        </w:rPr>
      </w:pPr>
      <w:r>
        <w:rPr>
          <w:rFonts w:hint="eastAsia" w:ascii="宋体" w:hAnsi="宋体"/>
          <w:b/>
          <w:bCs/>
          <w:szCs w:val="21"/>
          <w:lang w:val="en-US" w:eastAsia="zh-CN"/>
        </w:rPr>
        <w:t>3、</w:t>
      </w:r>
      <w:r>
        <w:rPr>
          <w:rFonts w:hint="eastAsia" w:ascii="宋体" w:hAnsi="宋体"/>
          <w:b/>
          <w:bCs/>
          <w:szCs w:val="21"/>
        </w:rPr>
        <w:t>教学资源方面：教学资源利用效率受限，影响建筑类大平台课程的基础效应发挥</w:t>
      </w:r>
    </w:p>
    <w:p>
      <w:pPr>
        <w:spacing w:line="400" w:lineRule="exact"/>
        <w:ind w:firstLine="420" w:firstLineChars="200"/>
        <w:rPr>
          <w:rFonts w:ascii="宋体" w:hAnsi="宋体"/>
          <w:szCs w:val="21"/>
        </w:rPr>
      </w:pPr>
      <w:r>
        <w:rPr>
          <w:rFonts w:hint="eastAsia" w:ascii="宋体" w:hAnsi="宋体"/>
          <w:szCs w:val="21"/>
        </w:rPr>
        <w:t>美术是建筑类专业基础平台课之一，美术教育不仅仅只是提升学生的绘画功底，更是为建筑类专业的设计课程打下坚实的设计表达基础和美学素养，但传统的美术教育方式教学资源利用率有限，仅仅是课堂上的教学对于拓展学生眼界和提升艺术赏析能力的要求得不到充分满足，互联网平台上的众多优秀美术作品以及设计案例没有一个系统而有序的平台供学生进行学习与探讨，进而影响了本课程对于建筑类大平台应有的基础效应的发挥。</w:t>
      </w:r>
    </w:p>
    <w:p>
      <w:pPr>
        <w:pStyle w:val="10"/>
        <w:numPr>
          <w:ilvl w:val="0"/>
          <w:numId w:val="1"/>
        </w:numPr>
        <w:spacing w:before="156" w:beforeLines="50" w:line="440" w:lineRule="exact"/>
        <w:ind w:firstLineChars="0"/>
        <w:rPr>
          <w:rFonts w:ascii="宋体" w:hAnsi="宋体"/>
          <w:b/>
          <w:bCs/>
          <w:sz w:val="24"/>
          <w:szCs w:val="24"/>
        </w:rPr>
      </w:pPr>
      <w:r>
        <w:rPr>
          <w:rFonts w:hint="eastAsia" w:ascii="宋体" w:hAnsi="宋体"/>
          <w:b/>
          <w:bCs/>
          <w:sz w:val="24"/>
          <w:szCs w:val="24"/>
        </w:rPr>
        <w:t>混合式教学方法改革的目标</w:t>
      </w:r>
    </w:p>
    <w:p>
      <w:pPr>
        <w:spacing w:line="400" w:lineRule="exact"/>
        <w:ind w:firstLine="420" w:firstLineChars="200"/>
        <w:rPr>
          <w:rFonts w:ascii="宋体" w:hAnsi="宋体"/>
          <w:b/>
          <w:bCs/>
          <w:szCs w:val="21"/>
        </w:rPr>
      </w:pPr>
      <w:r>
        <w:rPr>
          <w:rFonts w:hint="eastAsia" w:ascii="宋体" w:hAnsi="宋体"/>
          <w:szCs w:val="21"/>
        </w:rPr>
        <w:t>混合式教学改革侧重于有效结合传统课堂学习和网络在线学习这两种学习方法的特点和优点，即探索线下和线上有效结合的教学形式，以师生双主体的教学理念为指导，在教学过程中发挥教师的设计、启发、引导和师生互动的主导作用，同时充分挖掘学习者的学习能动性、积极探索的主体作用</w:t>
      </w:r>
      <w:r>
        <w:rPr>
          <w:rFonts w:hint="eastAsia" w:ascii="宋体" w:hAnsi="宋体"/>
          <w:szCs w:val="21"/>
          <w:vertAlign w:val="superscript"/>
        </w:rPr>
        <w:t>[2]</w:t>
      </w:r>
      <w:r>
        <w:rPr>
          <w:rFonts w:hint="eastAsia" w:ascii="宋体" w:hAnsi="宋体"/>
          <w:szCs w:val="21"/>
        </w:rPr>
        <w:t>。运用线上加线下多元化教学手段对建筑类专业《美术基础》进行混合式课改，形成一套完整的课程教学方案，以提供更高效的教育服务。</w:t>
      </w:r>
    </w:p>
    <w:p>
      <w:pPr>
        <w:pStyle w:val="10"/>
        <w:numPr>
          <w:ilvl w:val="0"/>
          <w:numId w:val="1"/>
        </w:numPr>
        <w:spacing w:before="156" w:beforeLines="50" w:line="440" w:lineRule="exact"/>
        <w:ind w:firstLineChars="0"/>
        <w:rPr>
          <w:rFonts w:ascii="宋体" w:hAnsi="宋体"/>
          <w:b/>
          <w:bCs/>
          <w:sz w:val="24"/>
          <w:szCs w:val="24"/>
        </w:rPr>
      </w:pPr>
      <w:r>
        <w:rPr>
          <w:rFonts w:hint="eastAsia" w:ascii="宋体" w:hAnsi="宋体"/>
          <w:b/>
          <w:bCs/>
          <w:sz w:val="24"/>
          <w:szCs w:val="24"/>
        </w:rPr>
        <w:t>混合式教学方法的应用</w:t>
      </w:r>
    </w:p>
    <w:p>
      <w:pPr>
        <w:spacing w:line="400" w:lineRule="exact"/>
        <w:ind w:firstLine="420" w:firstLineChars="200"/>
        <w:rPr>
          <w:rFonts w:ascii="宋体" w:hAnsi="宋体"/>
          <w:szCs w:val="21"/>
        </w:rPr>
      </w:pPr>
      <w:r>
        <w:rPr>
          <w:rFonts w:hint="eastAsia" w:ascii="宋体" w:hAnsi="宋体"/>
          <w:szCs w:val="21"/>
        </w:rPr>
        <w:t>混合式教学方法分别利用课前、课中、课后不同教学时间段将本课程的教学内容与网络教学平台充分结合（图1），学生通过课前、课中、课后的学习全过程将信息化资源随时随地的进行获取与反馈，拓展教学时间空间的同时，加强与教师的沟通与互动，增强学生自主学习的积极性。</w:t>
      </w:r>
    </w:p>
    <w:p>
      <w:pPr>
        <w:spacing w:line="400" w:lineRule="exact"/>
        <w:ind w:firstLine="422" w:firstLineChars="200"/>
        <w:rPr>
          <w:rFonts w:ascii="宋体" w:hAnsi="宋体"/>
          <w:szCs w:val="21"/>
        </w:rPr>
      </w:pPr>
      <w:r>
        <w:rPr>
          <w:rFonts w:hint="eastAsia" w:ascii="宋体" w:hAnsi="宋体"/>
          <w:b/>
          <w:szCs w:val="21"/>
          <w:lang w:bidi="ar"/>
        </w:rPr>
        <w:t>课前：发布教学计划和教学内容，线上赏析优秀作品</w:t>
      </w:r>
      <w:r>
        <w:rPr>
          <w:rFonts w:hint="eastAsia" w:ascii="宋体" w:hAnsi="宋体"/>
          <w:b/>
          <w:szCs w:val="21"/>
          <w:lang w:eastAsia="zh-CN" w:bidi="ar"/>
        </w:rPr>
        <w:t>。</w:t>
      </w:r>
      <w:r>
        <w:rPr>
          <w:rFonts w:hint="eastAsia" w:ascii="宋体" w:hAnsi="宋体"/>
          <w:szCs w:val="21"/>
          <w:lang w:bidi="ar"/>
        </w:rPr>
        <w:t>教师在网络教学平台上发布教学计划，引导学生了解本课程的知识架构，在每次课前公布讲授内容，发布经典美术作品案例，或组织学习进行优秀作品赏析，引导学生预习并准备素材，激发学生自主学习积极性，有利于快速进入课堂知识点。</w:t>
      </w:r>
    </w:p>
    <w:p>
      <w:pPr>
        <w:spacing w:line="400" w:lineRule="exact"/>
        <w:ind w:firstLine="422" w:firstLineChars="200"/>
        <w:rPr>
          <w:rFonts w:ascii="宋体" w:hAnsi="宋体"/>
          <w:szCs w:val="21"/>
        </w:rPr>
      </w:pPr>
      <w:r>
        <w:rPr>
          <w:rFonts w:hint="eastAsia" w:ascii="宋体" w:hAnsi="宋体"/>
          <w:b/>
          <w:szCs w:val="21"/>
          <w:lang w:bidi="ar"/>
        </w:rPr>
        <w:t>课中：讲授课程内容，解析重点与难点，在线互动交流</w:t>
      </w:r>
      <w:r>
        <w:rPr>
          <w:rFonts w:hint="eastAsia" w:ascii="宋体" w:hAnsi="宋体"/>
          <w:b/>
          <w:szCs w:val="21"/>
          <w:lang w:eastAsia="zh-CN" w:bidi="ar"/>
        </w:rPr>
        <w:t>。</w:t>
      </w:r>
      <w:r>
        <w:rPr>
          <w:rFonts w:hint="eastAsia" w:ascii="宋体" w:hAnsi="宋体"/>
          <w:szCs w:val="21"/>
          <w:lang w:bidi="ar"/>
        </w:rPr>
        <w:t>教师讲解知识点时结合网络教学平台，解答课前发布的预习内容，利用平台组织趣味性互动答题，并将平台上学生预习准备的素材进行课堂共享，吸引学生积极参与互动，在趣味性互动中加深知识点的理解与记忆。同时，在课中引导学生参与平台上的作品评析、交流共享，在充分的师生互动、生生互动中完成课堂内容的教与学，以新颖的方式活跃课堂气氛，以学生乐于接受，教师易于实行的方式有效提高教学质量。</w:t>
      </w:r>
    </w:p>
    <w:p>
      <w:pPr>
        <w:pStyle w:val="10"/>
        <w:spacing w:line="400" w:lineRule="exact"/>
        <w:ind w:left="1" w:firstLine="422"/>
        <w:rPr>
          <w:rFonts w:ascii="宋体" w:hAnsi="宋体"/>
          <w:szCs w:val="21"/>
          <w:lang w:bidi="ar"/>
        </w:rPr>
      </w:pPr>
      <w:r>
        <w:drawing>
          <wp:anchor distT="0" distB="0" distL="114300" distR="114300" simplePos="0" relativeHeight="251659264" behindDoc="0" locked="0" layoutInCell="1" allowOverlap="1">
            <wp:simplePos x="0" y="0"/>
            <wp:positionH relativeFrom="column">
              <wp:posOffset>734060</wp:posOffset>
            </wp:positionH>
            <wp:positionV relativeFrom="paragraph">
              <wp:posOffset>2244725</wp:posOffset>
            </wp:positionV>
            <wp:extent cx="3435350" cy="2393950"/>
            <wp:effectExtent l="0" t="0" r="12700"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435350" cy="2393950"/>
                    </a:xfrm>
                    <a:prstGeom prst="rect">
                      <a:avLst/>
                    </a:prstGeom>
                    <a:noFill/>
                    <a:ln>
                      <a:noFill/>
                    </a:ln>
                  </pic:spPr>
                </pic:pic>
              </a:graphicData>
            </a:graphic>
          </wp:anchor>
        </w:drawing>
      </w:r>
      <w:r>
        <w:rPr>
          <w:rFonts w:hint="eastAsia" w:ascii="宋体" w:hAnsi="宋体"/>
          <w:b/>
          <w:szCs w:val="21"/>
          <w:lang w:bidi="ar"/>
        </w:rPr>
        <w:t>课后：教学内容分步骤细化上传平台、课程资源共享、作业分步骤实时上传并点评，课堂教学评价</w:t>
      </w:r>
      <w:r>
        <w:rPr>
          <w:rFonts w:hint="eastAsia" w:ascii="宋体" w:hAnsi="宋体"/>
          <w:b/>
          <w:szCs w:val="21"/>
          <w:lang w:eastAsia="zh-CN" w:bidi="ar"/>
        </w:rPr>
        <w:t>。</w:t>
      </w:r>
      <w:r>
        <w:rPr>
          <w:rFonts w:hint="eastAsia" w:ascii="宋体" w:hAnsi="宋体"/>
          <w:szCs w:val="21"/>
          <w:lang w:bidi="ar"/>
        </w:rPr>
        <w:t>教师在线上教学平台中将教学内容分步骤细化，引导学生按照绘画步骤进行分步练习，将一副完整的画面分步骤解析，细化知识要点。在线发布相关练习内容、建筑类相关优秀设计案例分析、美术和设计相关专业网址资料等，将课程资源与学生共享，并增加交流探讨模块，增进师生互动，激发学生课后积极主动拓展学习内容。在课后学生练习过程中，将绘画作业分步骤实时上传，教师在线批阅点评，加强学生学习过程性把控。课后，学生利用在线平台对教学内容、教学方法、教学效果进行评价，教师根据反馈情况进行调整与完善，形成教与学的良性互动，“学信结合、教学相长”，不断提升教学效果。</w:t>
      </w:r>
    </w:p>
    <w:p>
      <w:pPr>
        <w:spacing w:line="400" w:lineRule="exact"/>
        <w:ind w:firstLine="420" w:firstLineChars="200"/>
        <w:jc w:val="center"/>
        <w:rPr>
          <w:rFonts w:ascii="宋体" w:hAnsi="宋体"/>
          <w:bCs/>
          <w:szCs w:val="21"/>
          <w:lang w:bidi="ar"/>
        </w:rPr>
      </w:pPr>
      <w:r>
        <w:rPr>
          <w:rFonts w:hint="eastAsia" w:ascii="宋体" w:hAnsi="宋体"/>
          <w:bCs/>
          <w:szCs w:val="21"/>
          <w:lang w:bidi="ar"/>
        </w:rPr>
        <w:t>图1</w:t>
      </w:r>
      <w:r>
        <w:rPr>
          <w:rFonts w:ascii="宋体" w:hAnsi="宋体"/>
          <w:bCs/>
          <w:szCs w:val="21"/>
          <w:lang w:bidi="ar"/>
        </w:rPr>
        <w:t xml:space="preserve"> </w:t>
      </w:r>
      <w:r>
        <w:rPr>
          <w:rFonts w:hint="eastAsia" w:ascii="宋体" w:hAnsi="宋体"/>
          <w:bCs/>
          <w:szCs w:val="21"/>
          <w:lang w:bidi="ar"/>
        </w:rPr>
        <w:t>《美术基础》混合式教学方法应用</w:t>
      </w:r>
    </w:p>
    <w:p>
      <w:pPr>
        <w:pStyle w:val="10"/>
        <w:numPr>
          <w:ilvl w:val="0"/>
          <w:numId w:val="1"/>
        </w:numPr>
        <w:spacing w:before="156" w:beforeLines="50" w:line="440" w:lineRule="exact"/>
        <w:ind w:firstLineChars="0"/>
        <w:rPr>
          <w:rFonts w:ascii="宋体" w:hAnsi="宋体"/>
          <w:b/>
          <w:bCs/>
          <w:sz w:val="24"/>
          <w:szCs w:val="24"/>
        </w:rPr>
      </w:pPr>
      <w:r>
        <w:rPr>
          <w:rFonts w:hint="eastAsia" w:ascii="宋体" w:hAnsi="宋体"/>
          <w:b/>
          <w:bCs/>
          <w:sz w:val="24"/>
          <w:szCs w:val="24"/>
        </w:rPr>
        <w:t xml:space="preserve">混合式教学方法应用的难点 </w:t>
      </w:r>
    </w:p>
    <w:p>
      <w:pPr>
        <w:spacing w:line="400" w:lineRule="exact"/>
        <w:ind w:firstLine="422" w:firstLineChars="200"/>
        <w:rPr>
          <w:rFonts w:ascii="宋体" w:hAnsi="宋体"/>
          <w:b/>
          <w:szCs w:val="21"/>
          <w:lang w:bidi="ar"/>
        </w:rPr>
      </w:pPr>
      <w:r>
        <w:rPr>
          <w:rFonts w:hint="eastAsia" w:ascii="宋体" w:hAnsi="宋体"/>
          <w:b/>
          <w:szCs w:val="21"/>
          <w:lang w:bidi="ar"/>
        </w:rPr>
        <w:t>（</w:t>
      </w:r>
      <w:r>
        <w:rPr>
          <w:rFonts w:hint="eastAsia" w:ascii="宋体" w:hAnsi="宋体"/>
          <w:b/>
          <w:szCs w:val="21"/>
          <w:lang w:val="en-US" w:eastAsia="zh-CN" w:bidi="ar"/>
        </w:rPr>
        <w:t>一</w:t>
      </w:r>
      <w:r>
        <w:rPr>
          <w:rFonts w:hint="eastAsia" w:ascii="宋体" w:hAnsi="宋体"/>
          <w:b/>
          <w:szCs w:val="21"/>
          <w:lang w:bidi="ar"/>
        </w:rPr>
        <w:t>）加强对学生自主学习的监管力度</w:t>
      </w:r>
    </w:p>
    <w:p>
      <w:pPr>
        <w:spacing w:line="400" w:lineRule="exact"/>
        <w:ind w:firstLine="420" w:firstLineChars="200"/>
        <w:rPr>
          <w:rFonts w:ascii="宋体" w:hAnsi="宋体"/>
          <w:szCs w:val="21"/>
        </w:rPr>
      </w:pPr>
      <w:r>
        <w:rPr>
          <w:rFonts w:hint="eastAsia" w:ascii="宋体" w:hAnsi="宋体"/>
          <w:szCs w:val="21"/>
        </w:rPr>
        <w:t>混合式教学更多的时间和内容是在教室之外的课前和课后完成的，学生的自主学习情况是混合式教学方法是否能够有效实施的关键。对于学习积极性不高、拖延症严重、自我要求比较松懈的学生，老师应该加强管理，可以在考核成绩中对线上平台的利用率进行相应比例的设置，督促学生按时完成线上学习内容，充分利用网络教学平台。</w:t>
      </w:r>
    </w:p>
    <w:p>
      <w:pPr>
        <w:spacing w:line="400" w:lineRule="exact"/>
        <w:ind w:firstLine="422" w:firstLineChars="200"/>
        <w:rPr>
          <w:rFonts w:ascii="宋体" w:hAnsi="宋体"/>
          <w:b/>
          <w:szCs w:val="21"/>
          <w:lang w:bidi="ar"/>
        </w:rPr>
      </w:pPr>
      <w:r>
        <w:rPr>
          <w:rFonts w:hint="eastAsia" w:ascii="宋体" w:hAnsi="宋体"/>
          <w:b/>
          <w:szCs w:val="21"/>
          <w:lang w:bidi="ar"/>
        </w:rPr>
        <w:t>（</w:t>
      </w:r>
      <w:r>
        <w:rPr>
          <w:rFonts w:hint="eastAsia" w:ascii="宋体" w:hAnsi="宋体"/>
          <w:b/>
          <w:szCs w:val="21"/>
          <w:lang w:val="en-US" w:eastAsia="zh-CN" w:bidi="ar"/>
        </w:rPr>
        <w:t>二</w:t>
      </w:r>
      <w:r>
        <w:rPr>
          <w:rFonts w:hint="eastAsia" w:ascii="宋体" w:hAnsi="宋体"/>
          <w:b/>
          <w:szCs w:val="21"/>
          <w:lang w:bidi="ar"/>
        </w:rPr>
        <w:t>）加强信息化素养，提升综合素质</w:t>
      </w:r>
    </w:p>
    <w:p>
      <w:pPr>
        <w:spacing w:line="400" w:lineRule="exact"/>
        <w:ind w:firstLine="420" w:firstLineChars="200"/>
        <w:rPr>
          <w:rFonts w:hint="eastAsia" w:ascii="宋体" w:hAnsi="宋体" w:eastAsia="宋体"/>
          <w:szCs w:val="21"/>
          <w:lang w:eastAsia="zh-CN"/>
        </w:rPr>
      </w:pPr>
      <w:r>
        <w:rPr>
          <w:rFonts w:hint="eastAsia" w:ascii="宋体" w:hAnsi="宋体"/>
          <w:szCs w:val="21"/>
        </w:rPr>
        <w:t>混合式教学方式是现代信息化教育与传统教学模式相结合的产物，对教师自身的要求较高，教师需不断更新教育理念，在信息化潮流中引领学生进行教学方式改革，充分利用互联网教学平台，将更多拓展性的知识带给学生，鼓励学生多种渠道进行学习，拓宽学生视野，提升学生综合素质。在混合式教学中，教师需不断提升自己信息化教学能力，如网络资源的转化、视频制作与剪辑等，为混合式教学方式的实施提供技术保障</w:t>
      </w:r>
      <w:r>
        <w:rPr>
          <w:rFonts w:hint="eastAsia" w:ascii="宋体" w:hAnsi="宋体"/>
          <w:szCs w:val="21"/>
          <w:lang w:eastAsia="zh-CN"/>
        </w:rPr>
        <w:t>。</w:t>
      </w:r>
    </w:p>
    <w:p>
      <w:pPr>
        <w:spacing w:line="400" w:lineRule="exact"/>
        <w:ind w:firstLine="482" w:firstLineChars="200"/>
        <w:rPr>
          <w:rFonts w:ascii="宋体" w:hAnsi="宋体"/>
          <w:b/>
          <w:bCs/>
          <w:sz w:val="24"/>
          <w:szCs w:val="24"/>
        </w:rPr>
      </w:pPr>
      <w:r>
        <w:rPr>
          <w:rFonts w:hint="eastAsia" w:ascii="宋体" w:hAnsi="宋体"/>
          <w:b/>
          <w:bCs/>
          <w:sz w:val="24"/>
          <w:szCs w:val="24"/>
        </w:rPr>
        <w:t xml:space="preserve">结语 </w:t>
      </w:r>
    </w:p>
    <w:p>
      <w:pPr>
        <w:spacing w:line="400" w:lineRule="exact"/>
        <w:ind w:firstLine="420" w:firstLineChars="200"/>
        <w:rPr>
          <w:rFonts w:ascii="宋体" w:hAnsi="宋体"/>
          <w:szCs w:val="21"/>
        </w:rPr>
      </w:pPr>
      <w:r>
        <w:rPr>
          <w:rFonts w:hint="eastAsia" w:ascii="宋体" w:hAnsi="宋体"/>
          <w:szCs w:val="21"/>
        </w:rPr>
        <w:t>混合式课程教学将现代信息技术与传统课堂教学方式相结合，这种学习模式突破了传统教学时间与空间的限制，将课堂知识进行充分拓展，对于建筑类专业《美术基础》课程的教学是一场全新的改革，能够有效提升学习自主学习积极性、拓宽学生学习渠道、激活课堂学习氛围，综合提升教学质量。同时，混合式教学也是对教师的一种挑战，教师需不断加强信息化素养，在提升教学质量的同时提升教师自身综合素质，全面推进教育的信息化改革。</w:t>
      </w:r>
    </w:p>
    <w:p>
      <w:pPr>
        <w:widowControl/>
        <w:spacing w:line="400" w:lineRule="exact"/>
        <w:jc w:val="left"/>
        <w:rPr>
          <w:rFonts w:ascii="宋体" w:hAnsi="宋体"/>
          <w:b/>
          <w:bCs/>
          <w:szCs w:val="21"/>
        </w:rPr>
      </w:pPr>
    </w:p>
    <w:p>
      <w:pPr>
        <w:widowControl/>
        <w:spacing w:line="400" w:lineRule="exact"/>
        <w:jc w:val="left"/>
        <w:rPr>
          <w:rFonts w:ascii="宋体" w:hAnsi="宋体"/>
          <w:b/>
          <w:bCs/>
          <w:szCs w:val="21"/>
        </w:rPr>
      </w:pPr>
    </w:p>
    <w:p>
      <w:pPr>
        <w:widowControl/>
        <w:spacing w:line="400" w:lineRule="exact"/>
        <w:jc w:val="left"/>
        <w:rPr>
          <w:rFonts w:ascii="宋体" w:hAnsi="宋体"/>
          <w:b/>
          <w:bCs/>
          <w:szCs w:val="21"/>
        </w:rPr>
      </w:pPr>
      <w:r>
        <w:rPr>
          <w:rFonts w:hint="eastAsia" w:ascii="宋体" w:hAnsi="宋体"/>
          <w:b/>
          <w:bCs/>
          <w:szCs w:val="21"/>
        </w:rPr>
        <w:t>参考文献：</w:t>
      </w:r>
    </w:p>
    <w:p>
      <w:pPr>
        <w:widowControl/>
        <w:spacing w:line="400" w:lineRule="exact"/>
        <w:ind w:left="420" w:hanging="420" w:hangingChars="200"/>
        <w:rPr>
          <w:rFonts w:hint="eastAsia" w:ascii="宋体" w:hAnsi="宋体" w:eastAsia="宋体"/>
          <w:szCs w:val="21"/>
          <w:lang w:val="en-US" w:eastAsia="zh-CN"/>
        </w:rPr>
      </w:pPr>
      <w:r>
        <w:rPr>
          <w:rFonts w:hint="eastAsia" w:ascii="宋体" w:hAnsi="宋体"/>
          <w:szCs w:val="21"/>
        </w:rPr>
        <w:t>[1] 何克抗，从 Blending Learning 看教育技术理论的新发展（上）[J]，中国电化教育,2004(03):1-6</w:t>
      </w:r>
      <w:r>
        <w:rPr>
          <w:rFonts w:hint="eastAsia" w:ascii="宋体" w:hAnsi="宋体"/>
          <w:szCs w:val="21"/>
          <w:lang w:val="en-US" w:eastAsia="zh-CN"/>
        </w:rPr>
        <w:t>.</w:t>
      </w:r>
    </w:p>
    <w:p>
      <w:pPr>
        <w:widowControl/>
        <w:spacing w:line="400" w:lineRule="exact"/>
        <w:ind w:left="420" w:hanging="420" w:hangingChars="200"/>
        <w:rPr>
          <w:rFonts w:hint="eastAsia" w:ascii="宋体" w:hAnsi="宋体" w:eastAsia="宋体"/>
          <w:szCs w:val="21"/>
          <w:lang w:val="en-US" w:eastAsia="zh-CN"/>
        </w:rPr>
      </w:pPr>
      <w:r>
        <w:rPr>
          <w:rFonts w:hint="eastAsia" w:ascii="宋体" w:hAnsi="宋体"/>
          <w:szCs w:val="21"/>
        </w:rPr>
        <w:t>[2] 穆萍，李薇，罗永霞等，混合式学习的定义及其在教学中的应用[J] ，西部素质教育，2017（14）：236-238</w:t>
      </w:r>
      <w:r>
        <w:rPr>
          <w:rFonts w:hint="eastAsia" w:ascii="宋体" w:hAnsi="宋体"/>
          <w:szCs w:val="21"/>
          <w:lang w:val="en-US" w:eastAsia="zh-CN"/>
        </w:rPr>
        <w:t>.</w:t>
      </w:r>
    </w:p>
    <w:p>
      <w:pPr>
        <w:widowControl/>
        <w:spacing w:line="400" w:lineRule="exact"/>
        <w:ind w:left="420" w:hanging="420" w:hangingChars="200"/>
        <w:rPr>
          <w:rFonts w:hint="eastAsia" w:ascii="宋体" w:hAnsi="宋体" w:eastAsia="宋体"/>
          <w:szCs w:val="21"/>
          <w:lang w:val="en-US" w:eastAsia="zh-CN"/>
        </w:rPr>
      </w:pPr>
      <w:r>
        <w:rPr>
          <w:rFonts w:hint="eastAsia" w:ascii="宋体" w:hAnsi="宋体"/>
          <w:szCs w:val="21"/>
        </w:rPr>
        <w:t>[3] 陈算荣，高校混合式教学的实践意义和当前面临的问题[J] ，高教学刊，2016（</w:t>
      </w:r>
      <w:r>
        <w:rPr>
          <w:rFonts w:hint="eastAsia" w:ascii="宋体" w:hAnsi="宋体"/>
          <w:szCs w:val="21"/>
          <w:lang w:val="en-US" w:eastAsia="zh-CN"/>
        </w:rPr>
        <w:t>0</w:t>
      </w:r>
      <w:r>
        <w:rPr>
          <w:rFonts w:hint="eastAsia" w:ascii="宋体" w:hAnsi="宋体"/>
          <w:szCs w:val="21"/>
        </w:rPr>
        <w:t>7）：16-16</w:t>
      </w:r>
      <w:r>
        <w:rPr>
          <w:rFonts w:hint="eastAsia" w:ascii="宋体" w:hAnsi="宋体"/>
          <w:szCs w:val="21"/>
          <w:lang w:val="en-US" w:eastAsia="zh-CN"/>
        </w:rPr>
        <w:t>.</w:t>
      </w:r>
    </w:p>
    <w:p>
      <w:pPr>
        <w:widowControl/>
        <w:spacing w:line="400" w:lineRule="exact"/>
        <w:ind w:left="420" w:hanging="420" w:hangingChars="200"/>
        <w:rPr>
          <w:rFonts w:hint="eastAsia" w:ascii="宋体" w:hAnsi="宋体" w:eastAsia="宋体"/>
          <w:szCs w:val="21"/>
          <w:lang w:val="en-US" w:eastAsia="zh-CN"/>
        </w:rPr>
      </w:pPr>
      <w:r>
        <w:rPr>
          <w:rFonts w:hint="eastAsia" w:ascii="宋体" w:hAnsi="宋体"/>
          <w:szCs w:val="21"/>
        </w:rPr>
        <w:t>[4] 张晓慧，混合式学习模式下教师面临的挑战及应对策略 [J] ，赤峰学院学报，2018（11）：147-149</w:t>
      </w:r>
      <w:r>
        <w:rPr>
          <w:rFonts w:hint="eastAsia" w:ascii="宋体" w:hAnsi="宋体"/>
          <w:szCs w:val="21"/>
          <w:lang w:val="en-US" w:eastAsia="zh-CN"/>
        </w:rPr>
        <w:t>.</w:t>
      </w: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40" w:lineRule="exact"/>
        <w:rPr>
          <w:rFonts w:ascii="仿宋_GB2312" w:hAnsi="仿宋" w:eastAsia="仿宋_GB2312"/>
          <w:sz w:val="32"/>
          <w:szCs w:val="32"/>
        </w:rPr>
      </w:pPr>
    </w:p>
    <w:p>
      <w:pPr>
        <w:spacing w:before="240"/>
        <w:jc w:val="center"/>
        <w:rPr>
          <w:rFonts w:eastAsia="仿宋_GB2312"/>
          <w:b/>
          <w:bCs/>
          <w:szCs w:val="21"/>
        </w:rPr>
      </w:pPr>
      <w:r>
        <w:rPr>
          <w:rFonts w:eastAsia="仿宋_GB2312"/>
          <w:b/>
          <w:bCs/>
          <w:szCs w:val="21"/>
        </w:rPr>
        <w:t xml:space="preserve">Exploration on </w:t>
      </w:r>
      <w:r>
        <w:rPr>
          <w:rFonts w:hint="eastAsia" w:eastAsia="仿宋_GB2312"/>
          <w:b/>
          <w:bCs/>
          <w:szCs w:val="21"/>
        </w:rPr>
        <w:t>the</w:t>
      </w:r>
      <w:r>
        <w:rPr>
          <w:rFonts w:eastAsia="仿宋_GB2312"/>
          <w:b/>
          <w:bCs/>
          <w:szCs w:val="21"/>
        </w:rPr>
        <w:t xml:space="preserve"> Application of Blended Teaching Method in the Course of “F</w:t>
      </w:r>
      <w:r>
        <w:rPr>
          <w:rFonts w:hint="eastAsia" w:eastAsia="仿宋_GB2312"/>
          <w:b/>
          <w:bCs/>
          <w:szCs w:val="21"/>
        </w:rPr>
        <w:t>undamentals</w:t>
      </w:r>
      <w:r>
        <w:rPr>
          <w:rFonts w:eastAsia="仿宋_GB2312"/>
          <w:b/>
          <w:bCs/>
          <w:szCs w:val="21"/>
        </w:rPr>
        <w:t xml:space="preserve"> of Fine Arts” for Architecture Majors</w:t>
      </w:r>
    </w:p>
    <w:p>
      <w:pPr>
        <w:widowControl/>
        <w:jc w:val="center"/>
        <w:rPr>
          <w:rFonts w:eastAsia="仿宋_GB2312"/>
          <w:b/>
          <w:bCs/>
          <w:szCs w:val="21"/>
        </w:rPr>
      </w:pPr>
      <w:r>
        <w:rPr>
          <w:rFonts w:eastAsia="仿宋_GB2312"/>
          <w:b/>
          <w:bCs/>
          <w:szCs w:val="21"/>
        </w:rPr>
        <w:t>HAN Cong, ZHOU Xia, SONG Xin, LI Xia</w:t>
      </w:r>
    </w:p>
    <w:p>
      <w:pPr>
        <w:widowControl/>
        <w:jc w:val="center"/>
        <w:rPr>
          <w:rFonts w:eastAsia="仿宋_GB2312"/>
          <w:b/>
          <w:bCs/>
          <w:szCs w:val="21"/>
        </w:rPr>
      </w:pPr>
      <w:r>
        <w:rPr>
          <w:rFonts w:eastAsia="仿宋_GB2312"/>
          <w:b/>
          <w:bCs/>
          <w:szCs w:val="21"/>
        </w:rPr>
        <w:t xml:space="preserve">(School of Urban Construction, Beijing City University, Beijing </w:t>
      </w:r>
      <w:r>
        <w:rPr>
          <w:szCs w:val="21"/>
        </w:rPr>
        <w:t>101399</w:t>
      </w:r>
      <w:r>
        <w:rPr>
          <w:rFonts w:eastAsia="仿宋_GB2312"/>
          <w:b/>
          <w:bCs/>
          <w:szCs w:val="21"/>
        </w:rPr>
        <w:t>, China)</w:t>
      </w:r>
    </w:p>
    <w:p>
      <w:pPr>
        <w:spacing w:before="156" w:beforeLines="50"/>
        <w:ind w:firstLine="211" w:firstLineChars="100"/>
        <w:rPr>
          <w:rFonts w:eastAsia="仿宋_GB2312"/>
          <w:szCs w:val="21"/>
        </w:rPr>
      </w:pPr>
      <w:r>
        <w:rPr>
          <w:rFonts w:eastAsia="仿宋_GB2312"/>
          <w:b/>
          <w:bCs/>
          <w:szCs w:val="21"/>
        </w:rPr>
        <w:t xml:space="preserve">Abstract: </w:t>
      </w:r>
      <w:r>
        <w:rPr>
          <w:rFonts w:eastAsia="仿宋_GB2312"/>
          <w:szCs w:val="21"/>
        </w:rPr>
        <w:t>Blended teaching is an important research direction of the current teaching reform in colleges and universities, but the related research on fine arts courses for architecture majors is still in the initial and exploratory stage. Blended teaching combines advanced modern education methods with traditional classroom teaching models, breaks through the limitations of traditional teaching time and space, effectively realizes the expansion of teaching platforms and high-quality resources, fully integrates the online and offline resources through the entire process of pre-class, while-class and after-class learning, and more effectively enhance students’ aesthetic quality and improve teaching quality.</w:t>
      </w:r>
    </w:p>
    <w:p>
      <w:pPr>
        <w:spacing w:before="156" w:beforeLines="50"/>
        <w:rPr>
          <w:rFonts w:eastAsia="仿宋_GB2312"/>
          <w:szCs w:val="21"/>
        </w:rPr>
      </w:pPr>
      <w:r>
        <w:rPr>
          <w:rFonts w:eastAsia="仿宋_GB2312"/>
          <w:b/>
          <w:bCs/>
          <w:szCs w:val="21"/>
        </w:rPr>
        <w:t>Key words:</w:t>
      </w:r>
      <w:r>
        <w:rPr>
          <w:rFonts w:eastAsia="仿宋_GB2312"/>
          <w:szCs w:val="21"/>
        </w:rPr>
        <w:t xml:space="preserve"> blended teaching; architecture; Fundamentals of Fine Arts</w:t>
      </w:r>
    </w:p>
    <w:p>
      <w:pPr>
        <w:spacing w:before="156" w:beforeLines="50"/>
        <w:rPr>
          <w:rFonts w:hint="default" w:eastAsia="仿宋_GB2312"/>
          <w:szCs w:val="21"/>
          <w:lang w:val="en-US" w:eastAsia="zh-CN"/>
        </w:rPr>
      </w:pPr>
      <w:r>
        <w:rPr>
          <w:rFonts w:hint="eastAsia" w:eastAsia="仿宋_GB2312"/>
          <w:szCs w:val="21"/>
          <w:lang w:val="en-US" w:eastAsia="zh-CN"/>
        </w:rPr>
        <w:t>(责任编辑：王丽华）</w:t>
      </w:r>
      <w:bookmarkStart w:id="0" w:name="_GoBack"/>
      <w:bookmarkEnd w:id="0"/>
    </w:p>
    <w:p>
      <w:pPr>
        <w:widowControl/>
        <w:spacing w:line="440" w:lineRule="exact"/>
        <w:rPr>
          <w:rFonts w:ascii="仿宋_GB2312" w:hAnsi="仿宋" w:eastAsia="仿宋_GB2312"/>
          <w:b/>
          <w:bCs/>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294064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9"/>
        </w:rPr>
        <w:footnoteRef/>
      </w:r>
      <w:r>
        <w:t xml:space="preserve"> </w:t>
      </w:r>
      <w:r>
        <w:rPr>
          <w:rFonts w:hint="eastAsia"/>
        </w:rPr>
        <w:t>收稿日期：2020年9月10日</w:t>
      </w:r>
    </w:p>
    <w:p>
      <w:pPr>
        <w:pStyle w:val="5"/>
        <w:ind w:firstLine="180" w:firstLineChars="100"/>
      </w:pPr>
      <w:r>
        <w:rPr>
          <w:rFonts w:hint="eastAsia"/>
        </w:rPr>
        <w:t>作者简介：韩聪（1</w:t>
      </w:r>
      <w:r>
        <w:t>991-</w:t>
      </w:r>
      <w:r>
        <w:rPr>
          <w:rFonts w:hint="eastAsia"/>
        </w:rPr>
        <w:t>），女（汉族），湖南，讲师，硕士，研究方向：风景园林规划设计、美学；</w:t>
      </w:r>
    </w:p>
    <w:p>
      <w:pPr>
        <w:pStyle w:val="5"/>
        <w:ind w:firstLine="180" w:firstLineChars="100"/>
      </w:pPr>
      <w:r>
        <w:rPr>
          <w:rFonts w:hint="eastAsia"/>
        </w:rPr>
        <w:t xml:space="preserve"> </w:t>
      </w:r>
      <w:r>
        <w:t xml:space="preserve">         </w:t>
      </w:r>
      <w:r>
        <w:rPr>
          <w:rFonts w:hint="eastAsia"/>
        </w:rPr>
        <w:t>周霞（1</w:t>
      </w:r>
      <w:r>
        <w:t>987-</w:t>
      </w:r>
      <w:r>
        <w:rPr>
          <w:rFonts w:hint="eastAsia"/>
        </w:rPr>
        <w:t>），女（汉族），山东，讲师，博士，研究方向：风景园林规划设计</w:t>
      </w:r>
    </w:p>
    <w:p>
      <w:pPr>
        <w:pStyle w:val="5"/>
        <w:ind w:firstLine="180" w:firstLineChars="100"/>
        <w:rPr>
          <w:rFonts w:hint="eastAsia" w:eastAsia="宋体"/>
          <w:lang w:eastAsia="zh-CN"/>
        </w:rPr>
      </w:pPr>
      <w:r>
        <w:rPr>
          <w:rFonts w:hint="eastAsia"/>
        </w:rPr>
        <w:t>基金项目：北京城市学院2018年第二批混合课程教学改革课题（</w:t>
      </w:r>
      <w:r>
        <w:t>JYB20181220</w:t>
      </w:r>
      <w:r>
        <w:rPr>
          <w:rFonts w:hint="eastAsia"/>
        </w:rPr>
        <w:t>）</w:t>
      </w:r>
      <w:r>
        <w:rPr>
          <w:rFonts w:hint="eastAsia"/>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A06A13"/>
    <w:multiLevelType w:val="multilevel"/>
    <w:tmpl w:val="71A06A13"/>
    <w:lvl w:ilvl="0" w:tentative="0">
      <w:start w:val="2"/>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EF"/>
    <w:rsid w:val="00011C25"/>
    <w:rsid w:val="0001243A"/>
    <w:rsid w:val="000130E3"/>
    <w:rsid w:val="00013D77"/>
    <w:rsid w:val="0001507C"/>
    <w:rsid w:val="00023402"/>
    <w:rsid w:val="00024C10"/>
    <w:rsid w:val="00080F05"/>
    <w:rsid w:val="0008211B"/>
    <w:rsid w:val="00087136"/>
    <w:rsid w:val="00092288"/>
    <w:rsid w:val="00092553"/>
    <w:rsid w:val="000A0205"/>
    <w:rsid w:val="000C6D53"/>
    <w:rsid w:val="000D6F42"/>
    <w:rsid w:val="000D73F0"/>
    <w:rsid w:val="000E01A4"/>
    <w:rsid w:val="000E18AB"/>
    <w:rsid w:val="000E2EA5"/>
    <w:rsid w:val="000E3678"/>
    <w:rsid w:val="000E6325"/>
    <w:rsid w:val="00116916"/>
    <w:rsid w:val="00132982"/>
    <w:rsid w:val="00151D67"/>
    <w:rsid w:val="001640E7"/>
    <w:rsid w:val="00174EC1"/>
    <w:rsid w:val="00180E3D"/>
    <w:rsid w:val="001A1E48"/>
    <w:rsid w:val="001D2DAB"/>
    <w:rsid w:val="00211EC6"/>
    <w:rsid w:val="00215514"/>
    <w:rsid w:val="00233E37"/>
    <w:rsid w:val="0023514C"/>
    <w:rsid w:val="002535CD"/>
    <w:rsid w:val="00276B81"/>
    <w:rsid w:val="002820A6"/>
    <w:rsid w:val="002879B0"/>
    <w:rsid w:val="00292AED"/>
    <w:rsid w:val="00294E05"/>
    <w:rsid w:val="00297C76"/>
    <w:rsid w:val="002A0405"/>
    <w:rsid w:val="002D3A21"/>
    <w:rsid w:val="00302A33"/>
    <w:rsid w:val="00305D66"/>
    <w:rsid w:val="00310F5A"/>
    <w:rsid w:val="00320330"/>
    <w:rsid w:val="00331A76"/>
    <w:rsid w:val="00362B00"/>
    <w:rsid w:val="0036639F"/>
    <w:rsid w:val="003922D7"/>
    <w:rsid w:val="003944FD"/>
    <w:rsid w:val="003A1F47"/>
    <w:rsid w:val="003A2074"/>
    <w:rsid w:val="003B1FA7"/>
    <w:rsid w:val="003D3E1A"/>
    <w:rsid w:val="003D463B"/>
    <w:rsid w:val="003F658D"/>
    <w:rsid w:val="003F6668"/>
    <w:rsid w:val="00422778"/>
    <w:rsid w:val="00431E40"/>
    <w:rsid w:val="004356CA"/>
    <w:rsid w:val="00463AB7"/>
    <w:rsid w:val="004673F5"/>
    <w:rsid w:val="00472AB9"/>
    <w:rsid w:val="00482491"/>
    <w:rsid w:val="004A3C47"/>
    <w:rsid w:val="004B0163"/>
    <w:rsid w:val="004C6534"/>
    <w:rsid w:val="004E599B"/>
    <w:rsid w:val="004F416C"/>
    <w:rsid w:val="0051169C"/>
    <w:rsid w:val="0058111E"/>
    <w:rsid w:val="005F7360"/>
    <w:rsid w:val="006079CE"/>
    <w:rsid w:val="00650662"/>
    <w:rsid w:val="00655711"/>
    <w:rsid w:val="0069593F"/>
    <w:rsid w:val="006A4BF7"/>
    <w:rsid w:val="006C2BD0"/>
    <w:rsid w:val="006C4205"/>
    <w:rsid w:val="006E128A"/>
    <w:rsid w:val="006E3818"/>
    <w:rsid w:val="0070257F"/>
    <w:rsid w:val="007050E4"/>
    <w:rsid w:val="007071F0"/>
    <w:rsid w:val="0072184C"/>
    <w:rsid w:val="0072782C"/>
    <w:rsid w:val="00751E13"/>
    <w:rsid w:val="007547E4"/>
    <w:rsid w:val="007732FD"/>
    <w:rsid w:val="00775640"/>
    <w:rsid w:val="007D312E"/>
    <w:rsid w:val="007D4375"/>
    <w:rsid w:val="00813890"/>
    <w:rsid w:val="00822A01"/>
    <w:rsid w:val="0084037E"/>
    <w:rsid w:val="008430FC"/>
    <w:rsid w:val="00851905"/>
    <w:rsid w:val="008B0D41"/>
    <w:rsid w:val="008C4A1B"/>
    <w:rsid w:val="00912D32"/>
    <w:rsid w:val="00942349"/>
    <w:rsid w:val="009610C6"/>
    <w:rsid w:val="00974ED7"/>
    <w:rsid w:val="0098249E"/>
    <w:rsid w:val="009A1037"/>
    <w:rsid w:val="009B10C0"/>
    <w:rsid w:val="009B688E"/>
    <w:rsid w:val="009E78BD"/>
    <w:rsid w:val="00A10C70"/>
    <w:rsid w:val="00A11173"/>
    <w:rsid w:val="00A149FF"/>
    <w:rsid w:val="00A1714B"/>
    <w:rsid w:val="00A20963"/>
    <w:rsid w:val="00A22CFF"/>
    <w:rsid w:val="00A33673"/>
    <w:rsid w:val="00A41608"/>
    <w:rsid w:val="00A550AC"/>
    <w:rsid w:val="00A745D8"/>
    <w:rsid w:val="00A763DA"/>
    <w:rsid w:val="00A83A75"/>
    <w:rsid w:val="00A925DE"/>
    <w:rsid w:val="00AA516F"/>
    <w:rsid w:val="00AC7EBC"/>
    <w:rsid w:val="00AD134F"/>
    <w:rsid w:val="00AF130F"/>
    <w:rsid w:val="00B02A39"/>
    <w:rsid w:val="00B20129"/>
    <w:rsid w:val="00B509A5"/>
    <w:rsid w:val="00B72FD1"/>
    <w:rsid w:val="00B96F26"/>
    <w:rsid w:val="00BD42FF"/>
    <w:rsid w:val="00BD6009"/>
    <w:rsid w:val="00BF4E1B"/>
    <w:rsid w:val="00C22630"/>
    <w:rsid w:val="00C242EF"/>
    <w:rsid w:val="00C268FC"/>
    <w:rsid w:val="00C35A7D"/>
    <w:rsid w:val="00C72CF5"/>
    <w:rsid w:val="00C820AB"/>
    <w:rsid w:val="00CD5501"/>
    <w:rsid w:val="00CF3FE3"/>
    <w:rsid w:val="00CF7CF9"/>
    <w:rsid w:val="00D00710"/>
    <w:rsid w:val="00D3527D"/>
    <w:rsid w:val="00D65536"/>
    <w:rsid w:val="00D945F6"/>
    <w:rsid w:val="00D95DC6"/>
    <w:rsid w:val="00DA3F09"/>
    <w:rsid w:val="00DA7617"/>
    <w:rsid w:val="00DB4A86"/>
    <w:rsid w:val="00DC7259"/>
    <w:rsid w:val="00DE5128"/>
    <w:rsid w:val="00E36A3D"/>
    <w:rsid w:val="00E60B0C"/>
    <w:rsid w:val="00E63AC0"/>
    <w:rsid w:val="00E65830"/>
    <w:rsid w:val="00E75C87"/>
    <w:rsid w:val="00EA71C5"/>
    <w:rsid w:val="00EB765F"/>
    <w:rsid w:val="00EC15A4"/>
    <w:rsid w:val="00EC694E"/>
    <w:rsid w:val="00ED37B9"/>
    <w:rsid w:val="00F06706"/>
    <w:rsid w:val="00F424BB"/>
    <w:rsid w:val="00F57CE8"/>
    <w:rsid w:val="00F877B0"/>
    <w:rsid w:val="00FA3A06"/>
    <w:rsid w:val="00FB687C"/>
    <w:rsid w:val="00FD1994"/>
    <w:rsid w:val="00FE203F"/>
    <w:rsid w:val="59B0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5"/>
    <w:semiHidden/>
    <w:unhideWhenUsed/>
    <w:qFormat/>
    <w:uiPriority w:val="99"/>
    <w:pPr>
      <w:snapToGrid w:val="0"/>
      <w:jc w:val="left"/>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footnote reference"/>
    <w:basedOn w:val="7"/>
    <w:semiHidden/>
    <w:unhideWhenUsed/>
    <w:qFormat/>
    <w:uiPriority w:val="99"/>
    <w:rPr>
      <w:vertAlign w:val="superscript"/>
    </w:rPr>
  </w:style>
  <w:style w:type="paragraph" w:styleId="10">
    <w:name w:val="List Paragraph"/>
    <w:basedOn w:val="1"/>
    <w:qFormat/>
    <w:uiPriority w:val="34"/>
    <w:pPr>
      <w:ind w:firstLine="420" w:firstLineChars="200"/>
    </w:pPr>
  </w:style>
  <w:style w:type="character" w:customStyle="1" w:styleId="11">
    <w:name w:val="页眉 字符"/>
    <w:basedOn w:val="7"/>
    <w:link w:val="4"/>
    <w:qFormat/>
    <w:uiPriority w:val="0"/>
    <w:rPr>
      <w:rFonts w:ascii="Times New Roman" w:hAnsi="Times New Roman" w:eastAsia="宋体" w:cs="Times New Roman"/>
      <w:sz w:val="18"/>
      <w:szCs w:val="18"/>
    </w:rPr>
  </w:style>
  <w:style w:type="character" w:customStyle="1" w:styleId="12">
    <w:name w:val="页脚 字符"/>
    <w:basedOn w:val="7"/>
    <w:link w:val="3"/>
    <w:uiPriority w:val="99"/>
    <w:rPr>
      <w:rFonts w:ascii="Times New Roman" w:hAnsi="Times New Roman" w:eastAsia="宋体" w:cs="Times New Roman"/>
      <w:sz w:val="18"/>
      <w:szCs w:val="18"/>
    </w:rPr>
  </w:style>
  <w:style w:type="character" w:customStyle="1" w:styleId="13">
    <w:name w:val="Unresolved Mention"/>
    <w:basedOn w:val="7"/>
    <w:semiHidden/>
    <w:unhideWhenUsed/>
    <w:uiPriority w:val="99"/>
    <w:rPr>
      <w:color w:val="605E5C"/>
      <w:shd w:val="clear" w:color="auto" w:fill="E1DFDD"/>
    </w:rPr>
  </w:style>
  <w:style w:type="character" w:customStyle="1" w:styleId="14">
    <w:name w:val="批注框文本 字符"/>
    <w:basedOn w:val="7"/>
    <w:link w:val="2"/>
    <w:semiHidden/>
    <w:uiPriority w:val="99"/>
    <w:rPr>
      <w:rFonts w:ascii="Times New Roman" w:hAnsi="Times New Roman" w:eastAsia="宋体" w:cs="Times New Roman"/>
      <w:sz w:val="18"/>
      <w:szCs w:val="18"/>
    </w:rPr>
  </w:style>
  <w:style w:type="character" w:customStyle="1" w:styleId="15">
    <w:name w:val="脚注文本 字符"/>
    <w:basedOn w:val="7"/>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AF5DE-C051-4EFD-97D0-15AE23510C76}">
  <ds:schemaRefs/>
</ds:datastoreItem>
</file>

<file path=docProps/app.xml><?xml version="1.0" encoding="utf-8"?>
<Properties xmlns="http://schemas.openxmlformats.org/officeDocument/2006/extended-properties" xmlns:vt="http://schemas.openxmlformats.org/officeDocument/2006/docPropsVTypes">
  <Template>Normal.dotm</Template>
  <Pages>5</Pages>
  <Words>698</Words>
  <Characters>3985</Characters>
  <Lines>33</Lines>
  <Paragraphs>9</Paragraphs>
  <TotalTime>96</TotalTime>
  <ScaleCrop>false</ScaleCrop>
  <LinksUpToDate>false</LinksUpToDate>
  <CharactersWithSpaces>4674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2020-09-07T08:22:00Z</dcterms:created>
  <dc:creator>韩 聪</dc:creator>
  <cp:lastModifiedBy>HH</cp:lastModifiedBy>
  <cp:lastPrinted>2019-06-26T09:00:00Z</cp:lastPrinted>
  <dcterms:modified xsi:type="dcterms:W3CDTF">2021-06-18T06:41:42Z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254B6DC520D048C3B195D4366068D2FA</vt:lpwstr>
  </property>
</Properties>
</file>