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b w:val="0"/>
          <w:bCs w:val="0"/>
          <w:color w:val="auto"/>
          <w:kern w:val="2"/>
          <w:sz w:val="32"/>
          <w:szCs w:val="32"/>
          <w:lang w:val="en-US" w:eastAsia="zh-CN" w:bidi="ar-SA"/>
        </w:rPr>
        <w:t>京津冀城市群生态效率测定及提升策略研究</w:t>
      </w:r>
      <w:r>
        <w:rPr>
          <w:rStyle w:val="19"/>
          <w:rFonts w:hint="eastAsia" w:ascii="黑体" w:hAnsi="黑体" w:eastAsia="黑体" w:cs="黑体"/>
          <w:b w:val="0"/>
          <w:bCs w:val="0"/>
          <w:color w:val="auto"/>
          <w:kern w:val="2"/>
          <w:sz w:val="32"/>
          <w:szCs w:val="32"/>
          <w:lang w:val="en-US" w:eastAsia="zh-CN" w:bidi="ar-SA"/>
        </w:rPr>
        <w:footnoteReference w:id="0"/>
      </w:r>
    </w:p>
    <w:p>
      <w:pPr>
        <w:spacing w:line="360" w:lineRule="auto"/>
        <w:ind w:firstLine="0" w:firstLineChars="0"/>
        <w:jc w:val="center"/>
        <w:rPr>
          <w:rFonts w:hint="eastAsia" w:ascii="宋体" w:hAnsi="宋体" w:eastAsia="宋体" w:cs="宋体"/>
          <w:bCs/>
          <w:color w:val="auto"/>
          <w:sz w:val="21"/>
          <w:szCs w:val="21"/>
          <w:vertAlign w:val="superscript"/>
        </w:rPr>
      </w:pPr>
      <w:r>
        <w:rPr>
          <w:rFonts w:hint="eastAsia" w:ascii="宋体" w:hAnsi="宋体" w:eastAsia="宋体" w:cs="宋体"/>
          <w:color w:val="auto"/>
          <w:sz w:val="21"/>
          <w:szCs w:val="21"/>
          <w:lang w:val="en-US" w:eastAsia="zh-CN"/>
        </w:rPr>
        <w:t>梁一灿</w:t>
      </w:r>
      <w:r>
        <w:rPr>
          <w:rFonts w:hint="eastAsia" w:ascii="宋体" w:hAnsi="宋体" w:eastAsia="宋体" w:cs="宋体"/>
          <w:bCs/>
          <w:color w:val="auto"/>
          <w:sz w:val="21"/>
          <w:szCs w:val="21"/>
          <w:vertAlign w:val="superscript"/>
        </w:rPr>
        <w:t>1</w:t>
      </w:r>
      <w:r>
        <w:rPr>
          <w:rFonts w:hint="eastAsia" w:ascii="宋体" w:hAnsi="宋体" w:cs="宋体"/>
          <w:bCs/>
          <w:color w:val="auto"/>
          <w:sz w:val="21"/>
          <w:szCs w:val="21"/>
          <w:vertAlign w:val="baseline"/>
          <w:lang w:val="en-US" w:eastAsia="zh-CN"/>
        </w:rPr>
        <w:t>,</w:t>
      </w:r>
      <w:r>
        <w:rPr>
          <w:rFonts w:hint="eastAsia" w:ascii="宋体" w:hAnsi="宋体" w:eastAsia="宋体" w:cs="宋体"/>
          <w:bCs/>
          <w:color w:val="auto"/>
          <w:sz w:val="21"/>
          <w:szCs w:val="21"/>
          <w:lang w:val="en-US" w:eastAsia="zh-CN"/>
        </w:rPr>
        <w:t>孙钰</w:t>
      </w:r>
      <w:r>
        <w:rPr>
          <w:rFonts w:hint="eastAsia" w:ascii="宋体" w:hAnsi="宋体" w:eastAsia="宋体" w:cs="宋体"/>
          <w:bCs/>
          <w:color w:val="auto"/>
          <w:sz w:val="21"/>
          <w:szCs w:val="21"/>
          <w:vertAlign w:val="superscript"/>
        </w:rPr>
        <w:t>1</w:t>
      </w:r>
      <w:r>
        <w:rPr>
          <w:rFonts w:hint="eastAsia" w:ascii="宋体" w:hAnsi="宋体" w:eastAsia="宋体" w:cs="宋体"/>
          <w:bCs/>
          <w:color w:val="auto"/>
          <w:sz w:val="21"/>
          <w:szCs w:val="21"/>
          <w:vertAlign w:val="superscript"/>
          <w:lang w:val="en-US" w:eastAsia="zh-CN"/>
        </w:rPr>
        <w:t>,2</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姜俊杰</w:t>
      </w:r>
      <w:r>
        <w:rPr>
          <w:rFonts w:hint="eastAsia" w:ascii="宋体" w:hAnsi="宋体" w:eastAsia="宋体" w:cs="宋体"/>
          <w:bCs/>
          <w:color w:val="auto"/>
          <w:sz w:val="21"/>
          <w:szCs w:val="21"/>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Cs/>
          <w:color w:val="auto"/>
          <w:sz w:val="21"/>
          <w:szCs w:val="21"/>
        </w:rPr>
        <w:t>(1.天津商业大学公共管理学院，天津 300134</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2.天津大学管理与经济学部，天津</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sz w:val="21"/>
          <w:szCs w:val="21"/>
        </w:rPr>
        <w:t>300072）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摘</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要</w:t>
      </w:r>
      <w:r>
        <w:rPr>
          <w:rFonts w:hint="eastAsia" w:ascii="宋体" w:hAnsi="宋体" w:cs="宋体"/>
          <w:b/>
          <w:bCs/>
          <w:sz w:val="21"/>
          <w:szCs w:val="21"/>
          <w:lang w:val="en-US" w:eastAsia="zh-CN"/>
        </w:rPr>
        <w:t xml:space="preserve"> </w:t>
      </w:r>
      <w:r>
        <w:rPr>
          <w:rFonts w:hint="eastAsia" w:ascii="宋体" w:hAnsi="宋体" w:cs="宋体"/>
          <w:color w:val="auto"/>
          <w:sz w:val="21"/>
          <w:szCs w:val="21"/>
          <w:lang w:val="en-US" w:eastAsia="zh-CN"/>
        </w:rPr>
        <w:t>基于</w:t>
      </w:r>
      <w:r>
        <w:rPr>
          <w:rFonts w:hint="eastAsia" w:ascii="宋体" w:hAnsi="宋体" w:eastAsia="宋体" w:cs="宋体"/>
          <w:color w:val="auto"/>
          <w:sz w:val="21"/>
          <w:szCs w:val="21"/>
          <w:lang w:val="en-US" w:eastAsia="zh-CN"/>
        </w:rPr>
        <w:t>2009—2019年京津冀13个城市的面板数据，</w:t>
      </w:r>
      <w:r>
        <w:rPr>
          <w:rFonts w:hint="eastAsia" w:ascii="宋体" w:hAnsi="宋体" w:cs="宋体"/>
          <w:color w:val="auto"/>
          <w:sz w:val="21"/>
          <w:szCs w:val="21"/>
          <w:lang w:val="en-US" w:eastAsia="zh-CN"/>
        </w:rPr>
        <w:t>构</w:t>
      </w:r>
      <w:r>
        <w:rPr>
          <w:rFonts w:hint="eastAsia" w:ascii="宋体" w:hAnsi="宋体" w:cs="宋体"/>
          <w:sz w:val="21"/>
          <w:szCs w:val="21"/>
          <w:lang w:val="en-US" w:eastAsia="zh-CN"/>
        </w:rPr>
        <w:t>建超效率</w:t>
      </w:r>
      <w:r>
        <w:rPr>
          <w:rFonts w:hint="default" w:ascii="Times New Roman" w:hAnsi="Times New Roman" w:cs="Times New Roman"/>
          <w:sz w:val="21"/>
          <w:szCs w:val="21"/>
          <w:lang w:val="en-US" w:eastAsia="zh-CN"/>
        </w:rPr>
        <w:t>SBM</w:t>
      </w:r>
      <w:r>
        <w:rPr>
          <w:rFonts w:hint="eastAsia" w:ascii="宋体" w:hAnsi="宋体" w:cs="宋体"/>
          <w:sz w:val="21"/>
          <w:szCs w:val="21"/>
          <w:lang w:val="en-US" w:eastAsia="zh-CN"/>
        </w:rPr>
        <w:t>模型对其生态效率进行测度，在此基础上借助无效率分解和系统广义矩估计方法探寻其生态效率内部增长潜力及外部影响因素。研究发现：</w:t>
      </w:r>
      <w:r>
        <w:rPr>
          <w:rFonts w:hint="eastAsia" w:ascii="宋体" w:hAnsi="宋体" w:eastAsia="宋体" w:cs="宋体"/>
          <w:sz w:val="21"/>
          <w:szCs w:val="21"/>
          <w:lang w:val="en-US" w:eastAsia="zh-CN"/>
        </w:rPr>
        <w:t>⑴</w:t>
      </w:r>
      <w:r>
        <w:rPr>
          <w:rFonts w:hint="eastAsia" w:ascii="宋体" w:hAnsi="宋体" w:cs="宋体"/>
          <w:sz w:val="21"/>
          <w:szCs w:val="21"/>
          <w:lang w:val="en-US" w:eastAsia="zh-CN"/>
        </w:rPr>
        <w:t>样本考察期内京津冀城市群生态效率整体一般，并且存在继续降低的趋势，有待进一步提升；</w:t>
      </w:r>
      <w:r>
        <w:rPr>
          <w:rFonts w:hint="eastAsia" w:ascii="宋体" w:hAnsi="宋体" w:eastAsia="宋体" w:cs="宋体"/>
          <w:sz w:val="21"/>
          <w:szCs w:val="21"/>
          <w:lang w:val="en-US" w:eastAsia="zh-CN"/>
        </w:rPr>
        <w:t>⑵</w:t>
      </w:r>
      <w:r>
        <w:rPr>
          <w:rFonts w:hint="eastAsia" w:ascii="宋体" w:hAnsi="宋体" w:cs="宋体"/>
          <w:sz w:val="21"/>
          <w:szCs w:val="21"/>
          <w:lang w:val="en-US" w:eastAsia="zh-CN"/>
        </w:rPr>
        <w:t>非期望产出冗余是阻碍生态效率进步的主要原因，通过节能减排来提高生态效率的潜力较大；</w:t>
      </w:r>
      <w:r>
        <w:rPr>
          <w:rFonts w:hint="eastAsia" w:ascii="宋体" w:hAnsi="宋体" w:eastAsia="宋体" w:cs="宋体"/>
          <w:sz w:val="21"/>
          <w:szCs w:val="21"/>
          <w:lang w:val="en-US" w:eastAsia="zh-CN"/>
        </w:rPr>
        <w:t>⑶</w:t>
      </w:r>
      <w:r>
        <w:rPr>
          <w:rFonts w:hint="eastAsia" w:ascii="宋体" w:hAnsi="宋体" w:cs="宋体"/>
          <w:sz w:val="21"/>
          <w:szCs w:val="21"/>
          <w:lang w:val="en-US" w:eastAsia="zh-CN"/>
        </w:rPr>
        <w:t>经济</w:t>
      </w:r>
      <w:r>
        <w:rPr>
          <w:rFonts w:hint="eastAsia" w:ascii="宋体" w:hAnsi="宋体" w:eastAsia="宋体" w:cs="宋体"/>
          <w:sz w:val="21"/>
          <w:szCs w:val="21"/>
          <w:lang w:val="en-US" w:eastAsia="zh-CN"/>
        </w:rPr>
        <w:t>发展、产业结构、</w:t>
      </w:r>
      <w:r>
        <w:rPr>
          <w:rFonts w:hint="eastAsia" w:ascii="宋体" w:hAnsi="宋体" w:cs="宋体"/>
          <w:sz w:val="21"/>
          <w:szCs w:val="21"/>
          <w:lang w:val="en-US" w:eastAsia="zh-CN"/>
        </w:rPr>
        <w:t>城市化、</w:t>
      </w:r>
      <w:r>
        <w:rPr>
          <w:rFonts w:hint="eastAsia" w:ascii="宋体" w:hAnsi="宋体" w:eastAsia="宋体" w:cs="宋体"/>
          <w:sz w:val="21"/>
          <w:szCs w:val="21"/>
          <w:lang w:val="en-US" w:eastAsia="zh-CN"/>
        </w:rPr>
        <w:t>科技</w:t>
      </w:r>
      <w:r>
        <w:rPr>
          <w:rFonts w:hint="eastAsia" w:ascii="宋体" w:hAnsi="宋体" w:cs="宋体"/>
          <w:sz w:val="21"/>
          <w:szCs w:val="21"/>
          <w:lang w:val="en-US" w:eastAsia="zh-CN"/>
        </w:rPr>
        <w:t>进步</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要素</w:t>
      </w:r>
      <w:r>
        <w:rPr>
          <w:rFonts w:hint="eastAsia" w:ascii="宋体" w:hAnsi="宋体" w:eastAsia="宋体" w:cs="宋体"/>
          <w:sz w:val="21"/>
          <w:szCs w:val="21"/>
          <w:lang w:val="en-US" w:eastAsia="zh-CN"/>
        </w:rPr>
        <w:t>对</w:t>
      </w:r>
      <w:r>
        <w:rPr>
          <w:rFonts w:hint="eastAsia" w:ascii="宋体" w:hAnsi="宋体" w:cs="宋体"/>
          <w:sz w:val="21"/>
          <w:szCs w:val="21"/>
          <w:lang w:val="en-US" w:eastAsia="zh-CN"/>
        </w:rPr>
        <w:t>其</w:t>
      </w:r>
      <w:r>
        <w:rPr>
          <w:rFonts w:hint="eastAsia" w:ascii="宋体" w:hAnsi="宋体" w:eastAsia="宋体" w:cs="宋体"/>
          <w:sz w:val="21"/>
          <w:szCs w:val="21"/>
          <w:lang w:val="en-US" w:eastAsia="zh-CN"/>
        </w:rPr>
        <w:t>生态效率</w:t>
      </w:r>
      <w:r>
        <w:rPr>
          <w:rFonts w:hint="eastAsia" w:ascii="宋体" w:hAnsi="宋体" w:cs="宋体"/>
          <w:sz w:val="21"/>
          <w:szCs w:val="21"/>
          <w:lang w:val="en-US" w:eastAsia="zh-CN"/>
        </w:rPr>
        <w:t>存在不同方向和程度的影响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最后在分析研判的基础上给出京津冀城市群联合防治、节能减排和科技创新驱动的针对性策略建议。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sz w:val="21"/>
          <w:szCs w:val="21"/>
          <w:lang w:val="en-US" w:eastAsia="zh-CN"/>
        </w:rPr>
      </w:pPr>
      <w:r>
        <w:rPr>
          <w:rFonts w:hint="eastAsia" w:ascii="宋体" w:hAnsi="宋体" w:eastAsia="宋体" w:cs="宋体"/>
          <w:b/>
          <w:bCs/>
          <w:sz w:val="21"/>
          <w:szCs w:val="21"/>
          <w:lang w:val="en-US" w:eastAsia="zh-CN"/>
        </w:rPr>
        <w:t>关键词</w:t>
      </w:r>
      <w:r>
        <w:rPr>
          <w:rFonts w:hint="eastAsia" w:ascii="宋体" w:hAnsi="宋体" w:cs="宋体"/>
          <w:b/>
          <w:bCs/>
          <w:sz w:val="21"/>
          <w:szCs w:val="21"/>
          <w:lang w:val="en-US" w:eastAsia="zh-CN"/>
        </w:rPr>
        <w:t xml:space="preserve"> </w:t>
      </w:r>
      <w:r>
        <w:rPr>
          <w:rFonts w:hint="eastAsia" w:ascii="宋体" w:hAnsi="宋体" w:cs="宋体"/>
          <w:sz w:val="21"/>
          <w:szCs w:val="21"/>
          <w:lang w:val="en-US" w:eastAsia="zh-CN"/>
        </w:rPr>
        <w:t>生态效率；超效率</w:t>
      </w:r>
      <w:r>
        <w:rPr>
          <w:rFonts w:hint="default" w:ascii="Times New Roman" w:hAnsi="Times New Roman" w:cs="Times New Roman"/>
          <w:sz w:val="21"/>
          <w:szCs w:val="21"/>
          <w:lang w:val="en-US" w:eastAsia="zh-CN"/>
        </w:rPr>
        <w:t>SBM</w:t>
      </w:r>
      <w:r>
        <w:rPr>
          <w:rFonts w:hint="eastAsia" w:ascii="宋体" w:hAnsi="宋体" w:cs="宋体"/>
          <w:sz w:val="21"/>
          <w:szCs w:val="21"/>
          <w:lang w:val="en-US" w:eastAsia="zh-CN"/>
        </w:rPr>
        <w:t>模型；无效率分解；影响因素；京津冀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中图分类号：</w:t>
      </w:r>
      <w:r>
        <w:rPr>
          <w:rFonts w:hint="eastAsia" w:ascii="宋体" w:hAnsi="宋体" w:cs="宋体"/>
          <w:b w:val="0"/>
          <w:bCs w:val="0"/>
          <w:sz w:val="21"/>
          <w:szCs w:val="21"/>
          <w:lang w:val="en-US" w:eastAsia="zh-CN"/>
        </w:rPr>
        <w:t xml:space="preserve">X321;F062.2  </w:t>
      </w:r>
      <w:r>
        <w:rPr>
          <w:rFonts w:hint="eastAsia" w:ascii="宋体" w:hAnsi="宋体" w:cs="宋体"/>
          <w:b/>
          <w:bCs/>
          <w:sz w:val="21"/>
          <w:szCs w:val="21"/>
          <w:lang w:val="en-US" w:eastAsia="zh-CN"/>
        </w:rPr>
        <w:t>文献标识码：</w:t>
      </w:r>
      <w:r>
        <w:rPr>
          <w:rFonts w:hint="default" w:ascii="Times New Roman" w:hAnsi="Times New Roman"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宋体" w:hAnsi="宋体" w:cs="宋体"/>
          <w:b/>
          <w:bCs/>
          <w:sz w:val="21"/>
          <w:szCs w:val="21"/>
          <w:lang w:val="en-US" w:eastAsia="zh-CN"/>
        </w:rPr>
        <w:t>文章编号：</w:t>
      </w:r>
    </w:p>
    <w:p>
      <w:pPr>
        <w:pStyle w:val="2"/>
        <w:bidi w:val="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随着中国城市化进程迈入崭新阶段，京津冀城市群峥嵘已现，成为国家高质量发展的第三增长极。尽管2020年9月10日发布的《京津冀蓝皮书：京津冀发展报告(2020)》</w:t>
      </w:r>
      <w:r>
        <w:rPr>
          <w:rFonts w:hint="eastAsia" w:ascii="宋体" w:hAnsi="宋体" w:eastAsia="宋体" w:cs="宋体"/>
          <w:sz w:val="21"/>
          <w:szCs w:val="21"/>
          <w:vertAlign w:val="superscript"/>
          <w:lang w:val="en-US" w:eastAsia="zh-CN"/>
        </w:rPr>
        <w:fldChar w:fldCharType="begin"/>
      </w:r>
      <w:r>
        <w:rPr>
          <w:rFonts w:hint="eastAsia" w:ascii="宋体" w:hAnsi="宋体" w:eastAsia="宋体" w:cs="宋体"/>
          <w:sz w:val="21"/>
          <w:szCs w:val="21"/>
          <w:vertAlign w:val="superscript"/>
          <w:lang w:val="en-US" w:eastAsia="zh-CN"/>
        </w:rPr>
        <w:instrText xml:space="preserve"> REF _Ref7847 \r \h </w:instrText>
      </w:r>
      <w:r>
        <w:rPr>
          <w:rFonts w:hint="eastAsia" w:ascii="宋体" w:hAnsi="宋体" w:eastAsia="宋体" w:cs="宋体"/>
          <w:sz w:val="21"/>
          <w:szCs w:val="21"/>
          <w:vertAlign w:val="superscript"/>
          <w:lang w:val="en-US" w:eastAsia="zh-CN"/>
        </w:rPr>
        <w:fldChar w:fldCharType="separate"/>
      </w:r>
      <w:r>
        <w:rPr>
          <w:rFonts w:hint="eastAsia" w:ascii="宋体" w:hAnsi="宋体" w:eastAsia="宋体" w:cs="宋体"/>
          <w:sz w:val="21"/>
          <w:szCs w:val="21"/>
          <w:vertAlign w:val="superscript"/>
          <w:lang w:val="en-US" w:eastAsia="zh-CN"/>
        </w:rPr>
        <w:t>①</w:t>
      </w:r>
      <w:r>
        <w:rPr>
          <w:rFonts w:hint="eastAsia" w:ascii="宋体" w:hAnsi="宋体" w:eastAsia="宋体" w:cs="宋体"/>
          <w:sz w:val="21"/>
          <w:szCs w:val="21"/>
          <w:vertAlign w:val="superscript"/>
          <w:lang w:val="en-US" w:eastAsia="zh-CN"/>
        </w:rPr>
        <w:fldChar w:fldCharType="end"/>
      </w:r>
      <w:r>
        <w:rPr>
          <w:rFonts w:hint="eastAsia" w:ascii="宋体" w:hAnsi="宋体" w:eastAsia="宋体" w:cs="宋体"/>
          <w:sz w:val="21"/>
          <w:szCs w:val="21"/>
          <w:lang w:val="en-US" w:eastAsia="zh-CN"/>
        </w:rPr>
        <w:t>明确肯定了京津冀三地生态方面的长足进步，然而，与长三角和珠三角两大城市群相比，该区域在生态环境建设（尤其是生态效率）方面尚存在较为突出的短板与弱项，以资源短缺、空气质量差和生态不宜居为代表，如表1所示。</w:t>
      </w:r>
      <w:r>
        <w:rPr>
          <w:rFonts w:hint="eastAsia" w:ascii="宋体" w:hAnsi="宋体" w:eastAsia="宋体" w:cs="宋体"/>
          <w:color w:val="auto"/>
          <w:sz w:val="21"/>
          <w:szCs w:val="21"/>
          <w:vertAlign w:val="baseline"/>
          <w:lang w:val="en-US" w:eastAsia="zh-CN"/>
        </w:rPr>
        <w:t>这些不利因素严重制约了京津冀城市群生态效率的提升，同时，该区域经济发展情况、产业结构、环境管理水平等方面存在较大差异，各城市实现经济与生态环境间协同发展的难度升级，对打破生态壁垒了带来严峻挑战。可见，继续加强生态保护治理、不断提升生态效率已成为京津冀城市群可持续发展的必然选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 2019年中国三大城市群资源环境数据对比</w:t>
      </w:r>
    </w:p>
    <w:tbl>
      <w:tblPr>
        <w:tblStyle w:val="11"/>
        <w:tblW w:w="4998"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93"/>
        <w:gridCol w:w="2533"/>
        <w:gridCol w:w="1536"/>
        <w:gridCol w:w="1551"/>
        <w:gridCol w:w="170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8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资源环境</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京津冀城市群</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长三角城市群</w:t>
            </w:r>
          </w:p>
        </w:tc>
        <w:tc>
          <w:tcPr>
            <w:tcW w:w="10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珠三角城市群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资源</w:t>
            </w:r>
          </w:p>
        </w:tc>
        <w:tc>
          <w:tcPr>
            <w:tcW w:w="1486" w:type="pc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人均水资源量</w:t>
            </w:r>
            <w:r>
              <w:rPr>
                <w:rFonts w:hint="eastAsia" w:ascii="宋体" w:hAnsi="宋体" w:eastAsia="宋体" w:cs="宋体"/>
                <w:color w:val="auto"/>
                <w:sz w:val="21"/>
                <w:szCs w:val="21"/>
                <w:vertAlign w:val="superscript"/>
                <w:lang w:val="en-US" w:eastAsia="zh-CN"/>
              </w:rPr>
              <w:fldChar w:fldCharType="begin"/>
            </w:r>
            <w:r>
              <w:rPr>
                <w:rFonts w:hint="eastAsia" w:ascii="宋体" w:hAnsi="宋体" w:eastAsia="宋体" w:cs="宋体"/>
                <w:color w:val="auto"/>
                <w:sz w:val="21"/>
                <w:szCs w:val="21"/>
                <w:vertAlign w:val="superscript"/>
                <w:lang w:val="en-US" w:eastAsia="zh-CN"/>
              </w:rPr>
              <w:instrText xml:space="preserve"> REF _Ref7945 \r \h </w:instrText>
            </w:r>
            <w:r>
              <w:rPr>
                <w:rFonts w:hint="eastAsia" w:ascii="宋体" w:hAnsi="宋体" w:eastAsia="宋体" w:cs="宋体"/>
                <w:color w:val="auto"/>
                <w:sz w:val="21"/>
                <w:szCs w:val="21"/>
                <w:vertAlign w:val="superscript"/>
                <w:lang w:val="en-US" w:eastAsia="zh-CN"/>
              </w:rPr>
              <w:fldChar w:fldCharType="separate"/>
            </w:r>
            <w:r>
              <w:rPr>
                <w:rFonts w:hint="eastAsia" w:ascii="宋体" w:hAnsi="宋体" w:eastAsia="宋体" w:cs="宋体"/>
                <w:color w:val="auto"/>
                <w:sz w:val="21"/>
                <w:szCs w:val="21"/>
                <w:vertAlign w:val="superscript"/>
                <w:lang w:val="en-US" w:eastAsia="zh-CN"/>
              </w:rPr>
              <w:t>②</w:t>
            </w:r>
            <w:r>
              <w:rPr>
                <w:rFonts w:hint="eastAsia" w:ascii="宋体" w:hAnsi="宋体" w:eastAsia="宋体" w:cs="宋体"/>
                <w:color w:val="auto"/>
                <w:sz w:val="21"/>
                <w:szCs w:val="21"/>
                <w:vertAlign w:val="superscript"/>
                <w:lang w:val="en-US" w:eastAsia="zh-CN"/>
              </w:rPr>
              <w:fldChar w:fldCharType="end"/>
            </w:r>
          </w:p>
        </w:tc>
        <w:tc>
          <w:tcPr>
            <w:tcW w:w="901" w:type="pc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315.59m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/人</w:t>
            </w:r>
          </w:p>
        </w:tc>
        <w:tc>
          <w:tcPr>
            <w:tcW w:w="910" w:type="pc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3593.12m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/人</w:t>
            </w:r>
          </w:p>
        </w:tc>
        <w:tc>
          <w:tcPr>
            <w:tcW w:w="1000" w:type="pc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1723.5m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vertAlign w:val="baseline"/>
                <w:lang w:val="en-US" w:eastAsia="zh-CN"/>
              </w:rPr>
              <w:t>/人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vMerge w:val="restar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空气质量</w:t>
            </w:r>
          </w:p>
        </w:tc>
        <w:tc>
          <w:tcPr>
            <w:tcW w:w="1486"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城市优良天数比例</w:t>
            </w:r>
          </w:p>
        </w:tc>
        <w:tc>
          <w:tcPr>
            <w:tcW w:w="901"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53.1%</w:t>
            </w:r>
          </w:p>
        </w:tc>
        <w:tc>
          <w:tcPr>
            <w:tcW w:w="91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76.5%</w:t>
            </w:r>
          </w:p>
        </w:tc>
        <w:tc>
          <w:tcPr>
            <w:tcW w:w="100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89.7%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1486"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空气质量较差的城市比例</w:t>
            </w:r>
          </w:p>
        </w:tc>
        <w:tc>
          <w:tcPr>
            <w:tcW w:w="901"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38.5%</w:t>
            </w:r>
          </w:p>
        </w:tc>
        <w:tc>
          <w:tcPr>
            <w:tcW w:w="91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00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vMerge w:val="restar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生态宜居</w:t>
            </w:r>
          </w:p>
        </w:tc>
        <w:tc>
          <w:tcPr>
            <w:tcW w:w="1486"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水土流失面积占土地总面积的比例</w:t>
            </w:r>
          </w:p>
        </w:tc>
        <w:tc>
          <w:tcPr>
            <w:tcW w:w="901"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20.32%</w:t>
            </w:r>
          </w:p>
        </w:tc>
        <w:tc>
          <w:tcPr>
            <w:tcW w:w="91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19.18%</w:t>
            </w:r>
          </w:p>
        </w:tc>
        <w:tc>
          <w:tcPr>
            <w:tcW w:w="100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18.31%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jc w:val="center"/>
              <w:textAlignment w:val="auto"/>
              <w:rPr>
                <w:rFonts w:hint="eastAsia" w:ascii="宋体" w:hAnsi="宋体" w:eastAsia="宋体" w:cs="宋体"/>
                <w:color w:val="auto"/>
                <w:sz w:val="21"/>
                <w:szCs w:val="21"/>
                <w:vertAlign w:val="baseline"/>
                <w:lang w:val="en-US" w:eastAsia="zh-CN"/>
              </w:rPr>
            </w:pPr>
          </w:p>
        </w:tc>
        <w:tc>
          <w:tcPr>
            <w:tcW w:w="1486"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湿地面积</w:t>
            </w:r>
          </w:p>
        </w:tc>
        <w:tc>
          <w:tcPr>
            <w:tcW w:w="901"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1296300hm</w:t>
            </w:r>
            <w:r>
              <w:rPr>
                <w:rFonts w:hint="eastAsia" w:ascii="宋体" w:hAnsi="宋体" w:eastAsia="宋体" w:cs="宋体"/>
                <w:color w:val="auto"/>
                <w:sz w:val="21"/>
                <w:szCs w:val="21"/>
                <w:vertAlign w:val="superscript"/>
                <w:lang w:val="en-US" w:eastAsia="zh-CN"/>
              </w:rPr>
              <w:t>2</w:t>
            </w:r>
          </w:p>
        </w:tc>
        <w:tc>
          <w:tcPr>
            <w:tcW w:w="91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5337300hm</w:t>
            </w:r>
            <w:r>
              <w:rPr>
                <w:rFonts w:hint="eastAsia" w:ascii="宋体" w:hAnsi="宋体" w:eastAsia="宋体" w:cs="宋体"/>
                <w:color w:val="auto"/>
                <w:sz w:val="21"/>
                <w:szCs w:val="21"/>
                <w:vertAlign w:val="superscript"/>
                <w:lang w:val="en-US" w:eastAsia="zh-CN"/>
              </w:rPr>
              <w:t>2</w:t>
            </w:r>
          </w:p>
        </w:tc>
        <w:tc>
          <w:tcPr>
            <w:tcW w:w="1000" w:type="pct"/>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1753333hm</w:t>
            </w:r>
            <w:r>
              <w:rPr>
                <w:rFonts w:hint="eastAsia" w:ascii="宋体" w:hAnsi="宋体" w:eastAsia="宋体" w:cs="宋体"/>
                <w:color w:val="auto"/>
                <w:sz w:val="21"/>
                <w:szCs w:val="21"/>
                <w:vertAlign w:val="superscrip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jc w:val="center"/>
              <w:textAlignment w:val="auto"/>
              <w:rPr>
                <w:rFonts w:hint="eastAsia" w:ascii="宋体" w:hAnsi="宋体" w:eastAsia="宋体" w:cs="宋体"/>
                <w:color w:val="auto"/>
                <w:sz w:val="21"/>
                <w:szCs w:val="21"/>
                <w:vertAlign w:val="baseline"/>
                <w:lang w:val="en-US" w:eastAsia="zh-CN"/>
              </w:rPr>
            </w:pPr>
          </w:p>
        </w:tc>
        <w:tc>
          <w:tcPr>
            <w:tcW w:w="1486" w:type="pc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森林蓄积量</w:t>
            </w:r>
          </w:p>
        </w:tc>
        <w:tc>
          <w:tcPr>
            <w:tcW w:w="901" w:type="pc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5860.37万m</w:t>
            </w:r>
            <w:r>
              <w:rPr>
                <w:rFonts w:hint="eastAsia" w:ascii="宋体" w:hAnsi="宋体" w:eastAsia="宋体" w:cs="宋体"/>
                <w:color w:val="auto"/>
                <w:sz w:val="21"/>
                <w:szCs w:val="21"/>
                <w:vertAlign w:val="superscript"/>
                <w:lang w:val="en-US" w:eastAsia="zh-CN"/>
              </w:rPr>
              <w:t>3</w:t>
            </w:r>
          </w:p>
        </w:tc>
        <w:tc>
          <w:tcPr>
            <w:tcW w:w="910" w:type="pc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1687100万m</w:t>
            </w:r>
            <w:r>
              <w:rPr>
                <w:rFonts w:hint="eastAsia" w:ascii="宋体" w:hAnsi="宋体" w:eastAsia="宋体" w:cs="宋体"/>
                <w:color w:val="auto"/>
                <w:sz w:val="21"/>
                <w:szCs w:val="21"/>
                <w:vertAlign w:val="superscript"/>
                <w:lang w:val="en-US" w:eastAsia="zh-CN"/>
              </w:rPr>
              <w:t>3</w:t>
            </w:r>
          </w:p>
        </w:tc>
        <w:tc>
          <w:tcPr>
            <w:tcW w:w="1000" w:type="pc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57900万m</w:t>
            </w:r>
            <w:r>
              <w:rPr>
                <w:rFonts w:hint="eastAsia" w:ascii="宋体" w:hAnsi="宋体" w:eastAsia="宋体" w:cs="宋体"/>
                <w:color w:val="auto"/>
                <w:sz w:val="21"/>
                <w:szCs w:val="21"/>
                <w:vertAlign w:val="superscript"/>
                <w:lang w:val="en-US" w:eastAsia="zh-CN"/>
              </w:rPr>
              <w:t>3</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注：根据2019年《中国水资源公报》、《中国生态环境状况公报》、《中国水土保持公报》相关数据整理计算而成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结合</w:t>
      </w:r>
      <w:r>
        <w:rPr>
          <w:rFonts w:hint="default" w:ascii="Times New Roman" w:hAnsi="Times New Roman" w:eastAsia="宋体" w:cs="Times New Roman"/>
          <w:color w:val="auto"/>
          <w:sz w:val="21"/>
          <w:szCs w:val="21"/>
          <w:vertAlign w:val="baseline"/>
          <w:lang w:val="en-US" w:eastAsia="zh-CN"/>
        </w:rPr>
        <w:t>MA</w:t>
      </w:r>
      <w:r>
        <w:rPr>
          <w:rFonts w:hint="eastAsia" w:ascii="宋体" w:hAnsi="宋体" w:eastAsia="宋体" w:cs="宋体"/>
          <w:color w:val="auto"/>
          <w:sz w:val="21"/>
          <w:szCs w:val="21"/>
          <w:vertAlign w:val="baseline"/>
          <w:lang w:eastAsia="zh-CN"/>
        </w:rPr>
        <w:t>等</w:t>
      </w:r>
      <w:r>
        <w:rPr>
          <w:rFonts w:hint="eastAsia" w:ascii="宋体" w:hAnsi="宋体" w:eastAsia="宋体" w:cs="宋体"/>
          <w:color w:val="auto"/>
          <w:sz w:val="21"/>
          <w:szCs w:val="21"/>
          <w:vertAlign w:val="baseline"/>
          <w:lang w:val="en-US" w:eastAsia="zh-CN"/>
        </w:rPr>
        <w:t>学者</w:t>
      </w:r>
      <w:r>
        <w:rPr>
          <w:rFonts w:hint="eastAsia" w:ascii="宋体" w:hAnsi="宋体" w:eastAsia="宋体" w:cs="宋体"/>
          <w:color w:val="auto"/>
          <w:sz w:val="21"/>
          <w:szCs w:val="21"/>
          <w:vertAlign w:val="baseline"/>
          <w:lang w:eastAsia="zh-CN"/>
        </w:rPr>
        <w:t>的研究，生态效率</w:t>
      </w:r>
      <w:r>
        <w:rPr>
          <w:rFonts w:hint="eastAsia" w:ascii="宋体" w:hAnsi="宋体" w:eastAsia="宋体" w:cs="宋体"/>
          <w:color w:val="auto"/>
          <w:sz w:val="21"/>
          <w:szCs w:val="21"/>
          <w:vertAlign w:val="baseline"/>
          <w:lang w:val="en-US" w:eastAsia="zh-CN"/>
        </w:rPr>
        <w:t>应该</w:t>
      </w:r>
      <w:r>
        <w:rPr>
          <w:rFonts w:hint="eastAsia" w:ascii="宋体" w:hAnsi="宋体" w:eastAsia="宋体" w:cs="宋体"/>
          <w:color w:val="auto"/>
          <w:sz w:val="21"/>
          <w:szCs w:val="21"/>
          <w:vertAlign w:val="baseline"/>
          <w:lang w:eastAsia="zh-CN"/>
        </w:rPr>
        <w:t>同时考虑经济、资源和环境利益，</w:t>
      </w:r>
      <w:r>
        <w:rPr>
          <w:rFonts w:hint="eastAsia" w:ascii="宋体" w:hAnsi="宋体" w:eastAsia="宋体" w:cs="宋体"/>
          <w:color w:val="auto"/>
          <w:sz w:val="21"/>
          <w:szCs w:val="21"/>
          <w:vertAlign w:val="baseline"/>
          <w:lang w:val="en-US" w:eastAsia="zh-CN"/>
        </w:rPr>
        <w:t>因此，本文将生态效率定义为</w:t>
      </w:r>
      <w:r>
        <w:rPr>
          <w:rFonts w:hint="eastAsia" w:ascii="宋体" w:hAnsi="宋体" w:eastAsia="宋体" w:cs="宋体"/>
          <w:color w:val="auto"/>
          <w:sz w:val="21"/>
          <w:szCs w:val="21"/>
          <w:vertAlign w:val="baseline"/>
          <w:lang w:eastAsia="zh-CN"/>
        </w:rPr>
        <w:t>以</w:t>
      </w:r>
      <w:r>
        <w:rPr>
          <w:rFonts w:hint="eastAsia" w:ascii="宋体" w:hAnsi="宋体" w:eastAsia="宋体" w:cs="宋体"/>
          <w:color w:val="auto"/>
          <w:sz w:val="21"/>
          <w:szCs w:val="21"/>
          <w:vertAlign w:val="baseline"/>
          <w:lang w:val="en-US" w:eastAsia="zh-CN"/>
        </w:rPr>
        <w:t>最小</w:t>
      </w:r>
      <w:r>
        <w:rPr>
          <w:rFonts w:hint="eastAsia" w:ascii="宋体" w:hAnsi="宋体" w:eastAsia="宋体" w:cs="宋体"/>
          <w:color w:val="auto"/>
          <w:sz w:val="21"/>
          <w:szCs w:val="21"/>
          <w:vertAlign w:val="baseline"/>
          <w:lang w:eastAsia="zh-CN"/>
        </w:rPr>
        <w:t>资源环境代价换取</w:t>
      </w:r>
      <w:r>
        <w:rPr>
          <w:rFonts w:hint="eastAsia" w:ascii="宋体" w:hAnsi="宋体" w:eastAsia="宋体" w:cs="宋体"/>
          <w:color w:val="auto"/>
          <w:sz w:val="21"/>
          <w:szCs w:val="21"/>
          <w:vertAlign w:val="baseline"/>
          <w:lang w:val="en-US" w:eastAsia="zh-CN"/>
        </w:rPr>
        <w:t>最</w:t>
      </w:r>
      <w:r>
        <w:rPr>
          <w:rFonts w:hint="eastAsia" w:ascii="宋体" w:hAnsi="宋体" w:eastAsia="宋体" w:cs="宋体"/>
          <w:color w:val="auto"/>
          <w:sz w:val="21"/>
          <w:szCs w:val="21"/>
          <w:vertAlign w:val="baseline"/>
          <w:lang w:eastAsia="zh-CN"/>
        </w:rPr>
        <w:t>大经济效益回报的投入与产出的对应关系。</w:t>
      </w:r>
      <w:r>
        <w:rPr>
          <w:rFonts w:hint="eastAsia" w:ascii="宋体" w:hAnsi="宋体" w:eastAsia="宋体" w:cs="宋体"/>
          <w:color w:val="auto"/>
          <w:sz w:val="21"/>
          <w:szCs w:val="21"/>
          <w:lang w:val="en-US" w:eastAsia="zh-CN"/>
        </w:rPr>
        <w:t>2018年11月印发的《关于建立更加有效的区域协调发展新机制的意见》中明确提出以北京、天津为中心，加快形成绿色协调、共享共赢的区域协调发展新机制，以此带动京津冀城市群发展；2020年12月7日举行的京津冀协同发展专场会上提出了“在即将到来的‘十四五’，</w:t>
      </w:r>
      <w:r>
        <w:rPr>
          <w:rFonts w:hint="eastAsia" w:ascii="宋体" w:hAnsi="宋体" w:eastAsia="宋体" w:cs="宋体"/>
          <w:color w:val="auto"/>
          <w:sz w:val="21"/>
          <w:szCs w:val="21"/>
          <w:vertAlign w:val="baseline"/>
          <w:lang w:val="en-US" w:eastAsia="zh-CN"/>
        </w:rPr>
        <w:t>京津冀已然成为辅车相依的利益共同体和</w:t>
      </w:r>
      <w:r>
        <w:rPr>
          <w:rFonts w:hint="eastAsia" w:ascii="宋体" w:hAnsi="宋体" w:eastAsia="宋体" w:cs="宋体"/>
          <w:strike w:val="0"/>
          <w:dstrike w:val="0"/>
          <w:color w:val="auto"/>
          <w:sz w:val="21"/>
          <w:szCs w:val="21"/>
          <w:lang w:val="en-US" w:eastAsia="zh-CN"/>
        </w:rPr>
        <w:t>休戚相关</w:t>
      </w:r>
      <w:r>
        <w:rPr>
          <w:rFonts w:hint="eastAsia" w:ascii="宋体" w:hAnsi="宋体" w:eastAsia="宋体" w:cs="宋体"/>
          <w:color w:val="auto"/>
          <w:sz w:val="21"/>
          <w:szCs w:val="21"/>
          <w:vertAlign w:val="baseline"/>
          <w:lang w:val="en-US" w:eastAsia="zh-CN"/>
        </w:rPr>
        <w:t>的生态命运共同体。通过对其生态效率进行测定并探究无效率来源和影响因素，为提升京津冀城市群生态效率提供对策建议。</w:t>
      </w:r>
    </w:p>
    <w:p>
      <w:pPr>
        <w:pStyle w:val="2"/>
        <w:bidi w:val="0"/>
        <w:rPr>
          <w:rFonts w:hint="default"/>
          <w:lang w:val="en-US" w:eastAsia="zh-CN"/>
        </w:rPr>
      </w:pPr>
      <w:r>
        <w:rPr>
          <w:rFonts w:hint="eastAsia"/>
          <w:lang w:val="en-US" w:eastAsia="zh-CN"/>
        </w:rPr>
        <w:t>一、</w:t>
      </w:r>
      <w:r>
        <w:rPr>
          <w:rFonts w:hint="default"/>
          <w:lang w:val="en-US" w:eastAsia="zh-CN"/>
        </w:rPr>
        <w:t>文献综述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Schaltegger</w:t>
      </w:r>
      <w:r>
        <w:rPr>
          <w:rFonts w:hint="eastAsia" w:ascii="宋体" w:hAnsi="宋体" w:eastAsia="宋体" w:cs="宋体"/>
          <w:color w:val="auto"/>
          <w:sz w:val="21"/>
          <w:szCs w:val="21"/>
          <w:lang w:val="en-US" w:eastAsia="zh-CN"/>
        </w:rPr>
        <w:t>和</w:t>
      </w:r>
      <w:r>
        <w:rPr>
          <w:rFonts w:hint="default" w:ascii="Times New Roman" w:hAnsi="Times New Roman" w:eastAsia="宋体" w:cs="Times New Roman"/>
          <w:color w:val="auto"/>
          <w:sz w:val="21"/>
          <w:szCs w:val="21"/>
          <w:lang w:val="en-US" w:eastAsia="zh-CN"/>
        </w:rPr>
        <w:t>Sturm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率先提出“生态效率”这一概念，主要是指增加的价值与增加的环境影响这两者之间的比值，后来便得以推广和应用。目前，大部分学者探索出了一系列的研究方法对生态效率进行测度，主要涵盖：单一比值法、指标体系法、物质流分析法、生态足迹法、随机前沿法、能值分析法和数据包络分析法等。在京津冀协同发展战略进一步得到强化和巩固的同时，学者们关注的重点日益向生态环境保护和经济高质量发展</w:t>
      </w:r>
      <w:r>
        <w:rPr>
          <w:rFonts w:hint="eastAsia" w:ascii="宋体" w:hAnsi="宋体" w:eastAsia="宋体" w:cs="宋体"/>
          <w:color w:val="000000" w:themeColor="text1"/>
          <w:sz w:val="21"/>
          <w:szCs w:val="21"/>
          <w:lang w:val="en-US" w:eastAsia="zh-CN"/>
          <w14:textFill>
            <w14:solidFill>
              <w14:schemeClr w14:val="tx1"/>
            </w14:solidFill>
          </w14:textFill>
        </w:rPr>
        <w:t>方面倾斜。如刘阳和秦曼(2019)</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基于2006—2015年的相关数据，</w:t>
      </w:r>
      <w:r>
        <w:rPr>
          <w:rFonts w:hint="eastAsia" w:ascii="宋体" w:hAnsi="宋体" w:eastAsia="宋体" w:cs="宋体"/>
          <w:color w:val="000000" w:themeColor="text1"/>
          <w:sz w:val="21"/>
          <w:szCs w:val="21"/>
          <w:lang w:val="en-US" w:eastAsia="zh-CN"/>
          <w14:textFill>
            <w14:solidFill>
              <w14:schemeClr w14:val="tx1"/>
            </w14:solidFill>
          </w14:textFill>
        </w:rPr>
        <w:t>采用三阶段</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DEA</w:t>
      </w:r>
      <w:r>
        <w:rPr>
          <w:rFonts w:hint="eastAsia" w:ascii="宋体" w:hAnsi="宋体" w:eastAsia="宋体" w:cs="宋体"/>
          <w:color w:val="000000" w:themeColor="text1"/>
          <w:sz w:val="21"/>
          <w:szCs w:val="21"/>
          <w:lang w:val="en-US" w:eastAsia="zh-CN"/>
          <w14:textFill>
            <w14:solidFill>
              <w14:schemeClr w14:val="tx1"/>
            </w14:solidFill>
          </w14:textFill>
        </w:rPr>
        <w:t>方法，综合</w:t>
      </w:r>
      <w:r>
        <w:rPr>
          <w:rFonts w:hint="eastAsia" w:ascii="宋体" w:hAnsi="宋体" w:cs="宋体"/>
          <w:color w:val="000000" w:themeColor="text1"/>
          <w:sz w:val="21"/>
          <w:szCs w:val="21"/>
          <w:lang w:val="en-US" w:eastAsia="zh-CN"/>
          <w14:textFill>
            <w14:solidFill>
              <w14:schemeClr w14:val="tx1"/>
            </w14:solidFill>
          </w14:textFill>
        </w:rPr>
        <w:t>得出</w:t>
      </w:r>
      <w:r>
        <w:rPr>
          <w:rFonts w:hint="eastAsia" w:ascii="宋体" w:hAnsi="宋体" w:eastAsia="宋体" w:cs="宋体"/>
          <w:color w:val="000000" w:themeColor="text1"/>
          <w:sz w:val="21"/>
          <w:szCs w:val="21"/>
          <w:lang w:val="en-US" w:eastAsia="zh-CN"/>
          <w14:textFill>
            <w14:solidFill>
              <w14:schemeClr w14:val="tx1"/>
            </w14:solidFill>
          </w14:textFill>
        </w:rPr>
        <w:t>京津冀城市群等四大沿海城市群绿色效率</w:t>
      </w:r>
      <w:r>
        <w:rPr>
          <w:rFonts w:hint="eastAsia" w:ascii="宋体" w:hAnsi="宋体" w:cs="宋体"/>
          <w:color w:val="000000" w:themeColor="text1"/>
          <w:sz w:val="21"/>
          <w:szCs w:val="21"/>
          <w:lang w:val="en-US" w:eastAsia="zh-CN"/>
          <w14:textFill>
            <w14:solidFill>
              <w14:schemeClr w14:val="tx1"/>
            </w14:solidFill>
          </w14:textFill>
        </w:rPr>
        <w:t>总体提升但波动较大的</w:t>
      </w:r>
      <w:r>
        <w:rPr>
          <w:rFonts w:hint="eastAsia" w:ascii="宋体" w:hAnsi="宋体" w:eastAsia="宋体" w:cs="宋体"/>
          <w:color w:val="000000" w:themeColor="text1"/>
          <w:sz w:val="21"/>
          <w:szCs w:val="21"/>
          <w:lang w:val="en-US" w:eastAsia="zh-CN"/>
          <w14:textFill>
            <w14:solidFill>
              <w14:schemeClr w14:val="tx1"/>
            </w14:solidFill>
          </w14:textFill>
        </w:rPr>
        <w:t>时空特征</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cs="宋体"/>
          <w:color w:val="000000" w:themeColor="text1"/>
          <w:sz w:val="21"/>
          <w:szCs w:val="21"/>
          <w:lang w:val="en-US" w:eastAsia="zh-CN"/>
          <w14:textFill>
            <w14:solidFill>
              <w14:schemeClr w14:val="tx1"/>
            </w14:solidFill>
          </w14:textFill>
        </w:rPr>
        <w:t>从技术、城市化和产业结构三方面</w:t>
      </w:r>
      <w:r>
        <w:rPr>
          <w:rFonts w:hint="eastAsia" w:ascii="宋体" w:hAnsi="宋体" w:eastAsia="宋体" w:cs="宋体"/>
          <w:color w:val="000000" w:themeColor="text1"/>
          <w:sz w:val="21"/>
          <w:szCs w:val="21"/>
          <w:lang w:val="en-US" w:eastAsia="zh-CN"/>
          <w14:textFill>
            <w14:solidFill>
              <w14:schemeClr w14:val="tx1"/>
            </w14:solidFill>
          </w14:textFill>
        </w:rPr>
        <w:t>提出优化策略；胡彪和孙雪(2020)借助非期望产出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SBM</w:t>
      </w:r>
      <w:r>
        <w:rPr>
          <w:rFonts w:hint="eastAsia" w:ascii="宋体" w:hAnsi="宋体" w:eastAsia="宋体" w:cs="宋体"/>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Malmquist</w:t>
      </w:r>
      <w:r>
        <w:rPr>
          <w:rFonts w:hint="eastAsia" w:ascii="宋体" w:hAnsi="宋体" w:eastAsia="宋体" w:cs="宋体"/>
          <w:color w:val="000000" w:themeColor="text1"/>
          <w:sz w:val="21"/>
          <w:szCs w:val="21"/>
          <w:lang w:val="en-US" w:eastAsia="zh-CN"/>
          <w14:textFill>
            <w14:solidFill>
              <w14:schemeClr w14:val="tx1"/>
            </w14:solidFill>
          </w14:textFill>
        </w:rPr>
        <w:t>指数模型对中国三大城市群（包括京津冀城市群）48个城市的生态经济效率进行测算</w:t>
      </w:r>
      <w:r>
        <w:rPr>
          <w:rFonts w:hint="eastAsia" w:ascii="宋体" w:hAnsi="宋体" w:cs="宋体"/>
          <w:color w:val="000000" w:themeColor="text1"/>
          <w:sz w:val="21"/>
          <w:szCs w:val="21"/>
          <w:lang w:val="en-US" w:eastAsia="zh-CN"/>
          <w14:textFill>
            <w14:solidFill>
              <w14:schemeClr w14:val="tx1"/>
            </w14:solidFill>
          </w14:textFill>
        </w:rPr>
        <w:t>后发现，其生态经济效率呈现逐步上升但发展缓慢的状态</w:t>
      </w:r>
      <w:r>
        <w:rPr>
          <w:rFonts w:hint="eastAsia" w:ascii="宋体" w:hAnsi="宋体" w:eastAsia="宋体" w:cs="宋体"/>
          <w:color w:val="000000" w:themeColor="text1"/>
          <w:sz w:val="21"/>
          <w:szCs w:val="21"/>
          <w:lang w:val="en-US" w:eastAsia="zh-CN"/>
          <w14:textFill>
            <w14:solidFill>
              <w14:schemeClr w14:val="tx1"/>
            </w14:solidFill>
          </w14:textFill>
        </w:rPr>
        <w:t>；袁世一、尚海潮等(2020)</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[19]</w:t>
      </w:r>
      <w:r>
        <w:rPr>
          <w:rFonts w:hint="eastAsia" w:ascii="宋体" w:hAnsi="宋体" w:eastAsia="宋体" w:cs="宋体"/>
          <w:color w:val="000000" w:themeColor="text1"/>
          <w:sz w:val="21"/>
          <w:szCs w:val="21"/>
          <w:lang w:val="en-US" w:eastAsia="zh-CN"/>
          <w14:textFill>
            <w14:solidFill>
              <w14:schemeClr w14:val="tx1"/>
            </w14:solidFill>
          </w14:textFill>
        </w:rPr>
        <w:t>在构建京津冀地区生态效率指标体系时，选择依托</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Shapley</w:t>
      </w:r>
      <w:r>
        <w:rPr>
          <w:rFonts w:hint="eastAsia" w:ascii="宋体" w:hAnsi="宋体" w:eastAsia="宋体" w:cs="宋体"/>
          <w:color w:val="000000" w:themeColor="text1"/>
          <w:sz w:val="21"/>
          <w:szCs w:val="21"/>
          <w:lang w:val="en-US" w:eastAsia="zh-CN"/>
          <w14:textFill>
            <w14:solidFill>
              <w14:schemeClr w14:val="tx1"/>
            </w14:solidFill>
          </w14:textFill>
        </w:rPr>
        <w:t>值进行变量选择，然后运用博弈交叉效率对各城市生态效率进行实证演算，接着运用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Tobit</w:t>
      </w:r>
      <w:r>
        <w:rPr>
          <w:rFonts w:hint="eastAsia" w:ascii="宋体" w:hAnsi="宋体" w:eastAsia="宋体" w:cs="宋体"/>
          <w:color w:val="000000" w:themeColor="text1"/>
          <w:sz w:val="21"/>
          <w:szCs w:val="21"/>
          <w:lang w:val="en-US" w:eastAsia="zh-CN"/>
          <w14:textFill>
            <w14:solidFill>
              <w14:schemeClr w14:val="tx1"/>
            </w14:solidFill>
          </w14:textFill>
        </w:rPr>
        <w:t>回归模型剖析其</w:t>
      </w:r>
      <w:r>
        <w:rPr>
          <w:rFonts w:hint="eastAsia" w:ascii="宋体" w:hAnsi="宋体" w:cs="宋体"/>
          <w:color w:val="000000" w:themeColor="text1"/>
          <w:sz w:val="21"/>
          <w:szCs w:val="21"/>
          <w:lang w:val="en-US" w:eastAsia="zh-CN"/>
          <w14:textFill>
            <w14:solidFill>
              <w14:schemeClr w14:val="tx1"/>
            </w14:solidFill>
          </w14:textFill>
        </w:rPr>
        <w:t>经济、产业结构、科技，对外开放等方面的</w:t>
      </w:r>
      <w:r>
        <w:rPr>
          <w:rFonts w:hint="eastAsia" w:ascii="宋体" w:hAnsi="宋体" w:eastAsia="宋体" w:cs="宋体"/>
          <w:color w:val="000000" w:themeColor="text1"/>
          <w:sz w:val="21"/>
          <w:szCs w:val="21"/>
          <w:lang w:val="en-US" w:eastAsia="zh-CN"/>
          <w14:textFill>
            <w14:solidFill>
              <w14:schemeClr w14:val="tx1"/>
            </w14:solidFill>
          </w14:textFill>
        </w:rPr>
        <w:t>影响因素并得出</w:t>
      </w:r>
      <w:r>
        <w:rPr>
          <w:rFonts w:hint="eastAsia" w:ascii="宋体" w:hAnsi="宋体" w:cs="宋体"/>
          <w:color w:val="000000" w:themeColor="text1"/>
          <w:sz w:val="21"/>
          <w:szCs w:val="21"/>
          <w:lang w:val="en-US" w:eastAsia="zh-CN"/>
          <w14:textFill>
            <w14:solidFill>
              <w14:schemeClr w14:val="tx1"/>
            </w14:solidFill>
          </w14:textFill>
        </w:rPr>
        <w:t>相应的</w:t>
      </w:r>
      <w:r>
        <w:rPr>
          <w:rFonts w:hint="eastAsia" w:ascii="宋体" w:hAnsi="宋体" w:eastAsia="宋体" w:cs="宋体"/>
          <w:color w:val="000000" w:themeColor="text1"/>
          <w:sz w:val="21"/>
          <w:szCs w:val="21"/>
          <w:lang w:val="en-US" w:eastAsia="zh-CN"/>
          <w14:textFill>
            <w14:solidFill>
              <w14:schemeClr w14:val="tx1"/>
            </w14:solidFill>
          </w14:textFill>
        </w:rPr>
        <w:t>结论</w:t>
      </w:r>
      <w:r>
        <w:rPr>
          <w:rFonts w:hint="eastAsia" w:ascii="宋体" w:hAnsi="宋体" w:cs="宋体"/>
          <w:color w:val="000000" w:themeColor="text1"/>
          <w:sz w:val="21"/>
          <w:szCs w:val="21"/>
          <w:lang w:val="en-US" w:eastAsia="zh-CN"/>
          <w14:textFill>
            <w14:solidFill>
              <w14:schemeClr w14:val="tx1"/>
            </w14:solidFill>
          </w14:textFill>
        </w:rPr>
        <w:t>，未来需优化产业结构、提高对外开放水平、加大科技投入力度</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尽管学者们围绕京津冀城市群生态效率测度进行了大量有益探索，但</w:t>
      </w:r>
      <w:r>
        <w:rPr>
          <w:rFonts w:hint="eastAsia" w:ascii="宋体" w:hAnsi="宋体" w:cs="宋体"/>
          <w:color w:val="000000" w:themeColor="text1"/>
          <w:sz w:val="21"/>
          <w:szCs w:val="21"/>
          <w:lang w:val="en-US" w:eastAsia="zh-CN"/>
          <w14:textFill>
            <w14:solidFill>
              <w14:schemeClr w14:val="tx1"/>
            </w14:solidFill>
          </w14:textFill>
        </w:rPr>
        <w:t>在研究区域、研究方法等方面</w:t>
      </w:r>
      <w:r>
        <w:rPr>
          <w:rFonts w:hint="eastAsia" w:ascii="宋体" w:hAnsi="宋体" w:eastAsia="宋体" w:cs="宋体"/>
          <w:color w:val="000000" w:themeColor="text1"/>
          <w:sz w:val="21"/>
          <w:szCs w:val="21"/>
          <w:lang w:val="en-US" w:eastAsia="zh-CN"/>
          <w14:textFill>
            <w14:solidFill>
              <w14:schemeClr w14:val="tx1"/>
            </w14:solidFill>
          </w14:textFill>
        </w:rPr>
        <w:t>仍待进一步拓展：⑴已有成果多为该城市群整体层面或与中国其他城市群横向对比的相关研究，基于城市群内每个城市的分析相对匮乏；⑵目前对京津冀生态无效率进行分解、识别来源并探索内在增长潜力的研究鲜见文端；⑶普通面板回归模型多聚焦于影响因素的静态分析，可能忽视研究中生态效率与经济发展水平、对外开放等要素之间存在的遗漏变量及内生性问题。鉴于此，本文将研究目标聚焦至京津冀城市群，构建基于非期望产出的超效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SBM</w:t>
      </w:r>
      <w:r>
        <w:rPr>
          <w:rFonts w:hint="eastAsia" w:ascii="宋体" w:hAnsi="宋体" w:eastAsia="宋体" w:cs="宋体"/>
          <w:color w:val="000000" w:themeColor="text1"/>
          <w:sz w:val="21"/>
          <w:szCs w:val="21"/>
          <w:lang w:val="en-US" w:eastAsia="zh-CN"/>
          <w14:textFill>
            <w14:solidFill>
              <w14:schemeClr w14:val="tx1"/>
            </w14:solidFill>
          </w14:textFill>
        </w:rPr>
        <w:t>模型用以完成其生态效率测度，并借助无效率分解方法对无效率来源分解识别后，挖掘其内在增长潜力，最后利用系统广义矩估计</w:t>
      </w:r>
      <w:r>
        <w:rPr>
          <w:rFonts w:hint="default" w:ascii="Times New Roman" w:hAnsi="Times New Roman" w:eastAsia="楷体" w:cs="Times New Roman"/>
          <w:color w:val="000000" w:themeColor="text1"/>
          <w:sz w:val="21"/>
          <w:szCs w:val="21"/>
          <w:lang w:val="en-US" w:eastAsia="zh-CN"/>
          <w14:textFill>
            <w14:solidFill>
              <w14:schemeClr w14:val="tx1"/>
            </w14:solidFill>
          </w14:textFill>
        </w:rPr>
        <w:t>(SYS-GMM)</w:t>
      </w:r>
      <w:r>
        <w:rPr>
          <w:rFonts w:hint="eastAsia" w:ascii="宋体" w:hAnsi="宋体" w:eastAsia="宋体" w:cs="宋体"/>
          <w:color w:val="000000" w:themeColor="text1"/>
          <w:sz w:val="21"/>
          <w:szCs w:val="21"/>
          <w:lang w:val="en-US" w:eastAsia="zh-CN"/>
          <w14:textFill>
            <w14:solidFill>
              <w14:schemeClr w14:val="tx1"/>
            </w14:solidFill>
          </w14:textFill>
        </w:rPr>
        <w:t>方法分析其外部影响因素，进而探寻切实可行的生态效率提升策略。</w:t>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二、京津冀生态效率评价指标体系构建</w:t>
      </w:r>
    </w:p>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（一）研究区域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京津冀地处华北平原北部，</w:t>
      </w:r>
      <w:r>
        <w:rPr>
          <w:rFonts w:hint="eastAsia" w:ascii="宋体" w:hAnsi="宋体" w:eastAsia="宋体" w:cs="宋体"/>
          <w:color w:val="000000" w:themeColor="text1"/>
          <w:sz w:val="21"/>
          <w:szCs w:val="21"/>
          <w:lang w:val="en-US" w:eastAsia="zh-CN"/>
          <w14:textFill>
            <w14:solidFill>
              <w14:schemeClr w14:val="tx1"/>
            </w14:solidFill>
          </w14:textFill>
        </w:rPr>
        <w:t>涵盖北京、天津两市以及河北省的11个行政单位</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instrText xml:space="preserve"> REF _Ref8102 \r \h </w:instrTex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③</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地区生产总值</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eastAsia="zh-CN"/>
          <w14:textFill>
            <w14:solidFill>
              <w14:schemeClr w14:val="tx1"/>
            </w14:solidFill>
          </w14:textFill>
        </w:rPr>
        <w:t>达到</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cs="宋体"/>
          <w:color w:val="000000" w:themeColor="text1"/>
          <w:sz w:val="21"/>
          <w:szCs w:val="21"/>
          <w:lang w:val="en-US" w:eastAsia="zh-CN"/>
          <w14:textFill>
            <w14:solidFill>
              <w14:schemeClr w14:val="tx1"/>
            </w14:solidFill>
          </w14:textFill>
        </w:rPr>
        <w:t>6000</w:t>
      </w:r>
      <w:r>
        <w:rPr>
          <w:rFonts w:hint="eastAsia" w:ascii="宋体" w:hAnsi="宋体" w:eastAsia="宋体" w:cs="宋体"/>
          <w:color w:val="000000" w:themeColor="text1"/>
          <w:sz w:val="21"/>
          <w:szCs w:val="21"/>
          <w14:textFill>
            <w14:solidFill>
              <w14:schemeClr w14:val="tx1"/>
            </w14:solidFill>
          </w14:textFill>
        </w:rPr>
        <w:t>亿元，</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14:textFill>
            <w14:solidFill>
              <w14:schemeClr w14:val="tx1"/>
            </w14:solidFill>
          </w14:textFill>
        </w:rPr>
        <w:t>全国</w:t>
      </w:r>
      <w:r>
        <w:rPr>
          <w:rFonts w:hint="eastAsia" w:ascii="宋体" w:hAnsi="宋体" w:eastAsia="宋体" w:cs="宋体"/>
          <w:color w:val="000000" w:themeColor="text1"/>
          <w:sz w:val="21"/>
          <w:szCs w:val="21"/>
          <w:lang w:eastAsia="zh-CN"/>
          <w14:textFill>
            <w14:solidFill>
              <w14:schemeClr w14:val="tx1"/>
            </w14:solidFill>
          </w14:textFill>
        </w:rPr>
        <w:t>所</w:t>
      </w:r>
      <w:r>
        <w:rPr>
          <w:rFonts w:hint="eastAsia" w:ascii="宋体" w:hAnsi="宋体" w:eastAsia="宋体" w:cs="宋体"/>
          <w:color w:val="000000" w:themeColor="text1"/>
          <w:sz w:val="21"/>
          <w:szCs w:val="21"/>
          <w14:textFill>
            <w14:solidFill>
              <w14:schemeClr w14:val="tx1"/>
            </w14:solidFill>
          </w14:textFill>
        </w:rPr>
        <w:t>占的</w:t>
      </w:r>
      <w:r>
        <w:rPr>
          <w:rFonts w:hint="eastAsia" w:ascii="宋体" w:hAnsi="宋体" w:eastAsia="宋体" w:cs="宋体"/>
          <w:color w:val="000000" w:themeColor="text1"/>
          <w:sz w:val="21"/>
          <w:szCs w:val="21"/>
          <w:lang w:eastAsia="zh-CN"/>
          <w14:textFill>
            <w14:solidFill>
              <w14:schemeClr w14:val="tx1"/>
            </w14:solidFill>
          </w14:textFill>
        </w:rPr>
        <w:t>比重为</w:t>
      </w:r>
      <w:r>
        <w:rPr>
          <w:rFonts w:hint="eastAsia" w:ascii="宋体" w:hAnsi="宋体" w:eastAsia="宋体" w:cs="宋体"/>
          <w:color w:val="000000" w:themeColor="text1"/>
          <w:sz w:val="21"/>
          <w:szCs w:val="21"/>
          <w14:textFill>
            <w14:solidFill>
              <w14:schemeClr w14:val="tx1"/>
            </w14:solidFill>
          </w14:textFill>
        </w:rPr>
        <w:t>8.5%</w:t>
      </w:r>
      <w:r>
        <w:rPr>
          <w:rFonts w:hint="eastAsia" w:ascii="宋体" w:hAnsi="宋体" w:eastAsia="宋体" w:cs="宋体"/>
          <w:color w:val="000000" w:themeColor="text1"/>
          <w:sz w:val="21"/>
          <w:szCs w:val="21"/>
          <w:vertAlign w:val="superscript"/>
          <w:lang w:eastAsia="zh-CN"/>
          <w14:textFill>
            <w14:solidFill>
              <w14:schemeClr w14:val="tx1"/>
            </w14:solidFill>
          </w14:textFill>
        </w:rPr>
        <w:fldChar w:fldCharType="begin"/>
      </w:r>
      <w:r>
        <w:rPr>
          <w:rFonts w:hint="eastAsia" w:ascii="宋体" w:hAnsi="宋体" w:eastAsia="宋体" w:cs="宋体"/>
          <w:color w:val="000000" w:themeColor="text1"/>
          <w:sz w:val="21"/>
          <w:szCs w:val="21"/>
          <w:vertAlign w:val="superscript"/>
          <w:lang w:eastAsia="zh-CN"/>
          <w14:textFill>
            <w14:solidFill>
              <w14:schemeClr w14:val="tx1"/>
            </w14:solidFill>
          </w14:textFill>
        </w:rPr>
        <w:instrText xml:space="preserve"> REF _Ref8167 \r \h </w:instrText>
      </w:r>
      <w:r>
        <w:rPr>
          <w:rFonts w:hint="eastAsia" w:ascii="宋体" w:hAnsi="宋体" w:eastAsia="宋体" w:cs="宋体"/>
          <w:color w:val="000000" w:themeColor="text1"/>
          <w:sz w:val="21"/>
          <w:szCs w:val="21"/>
          <w:vertAlign w:val="superscript"/>
          <w:lang w:eastAsia="zh-CN"/>
          <w14:textFill>
            <w14:solidFill>
              <w14:schemeClr w14:val="tx1"/>
            </w14:solidFill>
          </w14:textFill>
        </w:rPr>
        <w:fldChar w:fldCharType="separate"/>
      </w:r>
      <w:r>
        <w:rPr>
          <w:rFonts w:hint="eastAsia" w:ascii="宋体" w:hAnsi="宋体" w:eastAsia="宋体" w:cs="宋体"/>
          <w:color w:val="000000" w:themeColor="text1"/>
          <w:sz w:val="21"/>
          <w:szCs w:val="21"/>
          <w:vertAlign w:val="superscript"/>
          <w:lang w:eastAsia="zh-CN"/>
          <w14:textFill>
            <w14:solidFill>
              <w14:schemeClr w14:val="tx1"/>
            </w14:solidFill>
          </w14:textFill>
        </w:rPr>
        <w:t>④</w:t>
      </w:r>
      <w:r>
        <w:rPr>
          <w:rFonts w:hint="eastAsia" w:ascii="宋体" w:hAnsi="宋体" w:eastAsia="宋体" w:cs="宋体"/>
          <w:color w:val="000000" w:themeColor="text1"/>
          <w:sz w:val="21"/>
          <w:szCs w:val="21"/>
          <w:vertAlign w:val="superscript"/>
          <w:lang w:eastAsia="zh-CN"/>
          <w14:textFill>
            <w14:solidFill>
              <w14:schemeClr w14:val="tx1"/>
            </w14:solidFill>
          </w14:textFill>
        </w:rPr>
        <w:fldChar w:fldCharType="end"/>
      </w:r>
      <w:r>
        <w:rPr>
          <w:rFonts w:hint="eastAsia" w:ascii="宋体" w:hAnsi="宋体" w:eastAsia="宋体" w:cs="宋体"/>
          <w:color w:val="000000" w:themeColor="text1"/>
          <w:sz w:val="21"/>
          <w:szCs w:val="21"/>
          <w:lang w:eastAsia="zh-CN"/>
          <w14:textFill>
            <w14:solidFill>
              <w14:schemeClr w14:val="tx1"/>
            </w14:solidFill>
          </w14:textFill>
        </w:rPr>
        <w:t>，是北方经济规模最大、最具活力和影响力的地区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然而，占</w:t>
      </w:r>
      <w:r>
        <w:rPr>
          <w:rFonts w:hint="eastAsia" w:ascii="宋体" w:hAnsi="宋体" w:eastAsia="宋体" w:cs="宋体"/>
          <w:color w:val="000000" w:themeColor="text1"/>
          <w:sz w:val="21"/>
          <w:szCs w:val="21"/>
          <w14:textFill>
            <w14:solidFill>
              <w14:schemeClr w14:val="tx1"/>
            </w14:solidFill>
          </w14:textFill>
        </w:rPr>
        <w:t>全国2.25%</w:t>
      </w:r>
      <w:r>
        <w:rPr>
          <w:rFonts w:hint="eastAsia" w:ascii="宋体" w:hAnsi="宋体" w:eastAsia="宋体" w:cs="宋体"/>
          <w:color w:val="000000" w:themeColor="text1"/>
          <w:sz w:val="21"/>
          <w:szCs w:val="21"/>
          <w:lang w:val="en-US" w:eastAsia="zh-CN"/>
          <w14:textFill>
            <w14:solidFill>
              <w14:schemeClr w14:val="tx1"/>
            </w14:solidFill>
          </w14:textFill>
        </w:rPr>
        <w:t>地域面积的京津冀城市群却养活着占全国</w:t>
      </w:r>
      <w:r>
        <w:rPr>
          <w:rFonts w:hint="eastAsia" w:ascii="宋体" w:hAnsi="宋体" w:eastAsia="宋体" w:cs="宋体"/>
          <w:color w:val="000000" w:themeColor="text1"/>
          <w:sz w:val="21"/>
          <w:szCs w:val="21"/>
          <w14:textFill>
            <w14:solidFill>
              <w14:schemeClr w14:val="tx1"/>
            </w14:solidFill>
          </w14:textFill>
        </w:rPr>
        <w:t>8.0</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的人口</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instrText xml:space="preserve"> REF _Ref8213 \r \h </w:instrTex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⑤</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，如何在新型城市化快速推进的过程中尽快寻求生态突破口，就成为摆脱其人地矛盾突出、资源环境承载力低下生态困境的一把“钥匙”。</w:t>
      </w:r>
    </w:p>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（二）生态效率评价指标体系的构建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京津冀生态环境质量的改善事关其生态文明建设，是落实新发展理念</w:t>
      </w:r>
      <w:r>
        <w:rPr>
          <w:rFonts w:hint="eastAsia" w:ascii="宋体" w:hAnsi="宋体" w:eastAsia="宋体" w:cs="宋体"/>
          <w:color w:val="auto"/>
          <w:sz w:val="21"/>
          <w:szCs w:val="21"/>
          <w:lang w:val="en-US" w:eastAsia="zh-CN"/>
        </w:rPr>
        <w:t>、实现“绿色美”的重要举措。本文依据生态效率的性质，借鉴现有文献</w:t>
      </w:r>
      <w:r>
        <w:rPr>
          <w:rFonts w:hint="eastAsia" w:ascii="宋体" w:hAnsi="宋体" w:eastAsia="宋体" w:cs="宋体"/>
          <w:color w:val="auto"/>
          <w:sz w:val="21"/>
          <w:szCs w:val="21"/>
          <w:vertAlign w:val="superscript"/>
          <w:lang w:val="en-US" w:eastAsia="zh-CN"/>
        </w:rPr>
        <w:t>[20-26]</w:t>
      </w:r>
      <w:r>
        <w:rPr>
          <w:rFonts w:hint="eastAsia" w:ascii="宋体" w:hAnsi="宋体" w:eastAsia="宋体" w:cs="宋体"/>
          <w:color w:val="auto"/>
          <w:sz w:val="21"/>
          <w:szCs w:val="21"/>
          <w:lang w:val="en-US" w:eastAsia="zh-CN"/>
        </w:rPr>
        <w:t>中关于生态效率评价的相关指标，同时参考</w:t>
      </w:r>
      <w:r>
        <w:rPr>
          <w:rFonts w:hint="eastAsia" w:ascii="宋体" w:hAnsi="宋体" w:eastAsia="宋体" w:cs="宋体"/>
          <w:color w:val="auto"/>
          <w:sz w:val="21"/>
          <w:szCs w:val="21"/>
          <w:vertAlign w:val="baseline"/>
          <w:lang w:val="en-US" w:eastAsia="zh-CN"/>
        </w:rPr>
        <w:t>《关于构建现代环境治理体系的指导意见》《绿色发展指标体系》、世界可持续发展工商业委员会</w:t>
      </w:r>
      <w:r>
        <w:rPr>
          <w:rFonts w:hint="default" w:ascii="Times New Roman" w:hAnsi="Times New Roman" w:eastAsia="宋体" w:cs="Times New Roman"/>
          <w:color w:val="auto"/>
          <w:sz w:val="21"/>
          <w:szCs w:val="21"/>
          <w:vertAlign w:val="baseline"/>
          <w:lang w:val="en-US" w:eastAsia="zh-CN"/>
        </w:rPr>
        <w:t>(WBCSD)</w:t>
      </w:r>
      <w:r>
        <w:rPr>
          <w:rFonts w:hint="eastAsia" w:ascii="宋体" w:hAnsi="宋体" w:eastAsia="宋体" w:cs="宋体"/>
          <w:color w:val="auto"/>
          <w:sz w:val="21"/>
          <w:szCs w:val="21"/>
          <w:vertAlign w:val="baseline"/>
          <w:lang w:val="en-US" w:eastAsia="zh-CN"/>
        </w:rPr>
        <w:t>给出的区域环境指标，</w:t>
      </w:r>
      <w:r>
        <w:rPr>
          <w:rFonts w:hint="eastAsia" w:ascii="宋体" w:hAnsi="宋体" w:eastAsia="宋体" w:cs="宋体"/>
          <w:color w:val="auto"/>
          <w:sz w:val="21"/>
          <w:szCs w:val="21"/>
          <w:lang w:val="en-US" w:eastAsia="zh-CN"/>
        </w:rPr>
        <w:t>遵循评价指标构建的原则，在充分考虑京津冀区域的实际情况下，本文拟选择资本、土地、劳动力和能源在内的投入指标，地区国民生产总值为期望产出指标，以及以废气、废水排放等对环境的负面影响为非期望产出指标的京津冀城市群生态效率指标体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其中，投入指标包括固定资产投资总额、城市建设用地面积、每万人水利环境设施管理从业人员人数、城市供水总量、全社会用电量和地区单位</w:t>
      </w:r>
      <w:r>
        <w:rPr>
          <w:rFonts w:hint="default" w:ascii="Times New Roman" w:hAnsi="Times New Roman" w:eastAsia="宋体" w:cs="Times New Roman"/>
          <w:color w:val="auto"/>
          <w:sz w:val="21"/>
          <w:szCs w:val="21"/>
          <w:lang w:val="en-US" w:eastAsia="zh-CN"/>
        </w:rPr>
        <w:t>GDP</w:t>
      </w:r>
      <w:r>
        <w:rPr>
          <w:rFonts w:hint="eastAsia" w:ascii="宋体" w:hAnsi="宋体" w:eastAsia="宋体" w:cs="宋体"/>
          <w:color w:val="auto"/>
          <w:sz w:val="21"/>
          <w:szCs w:val="21"/>
          <w:lang w:val="en-US" w:eastAsia="zh-CN"/>
        </w:rPr>
        <w:t>能耗6个指标；在产出指标上，选取期望产出和非期望产出。期望产出方面，地区生产总值可以从经济效益角度反映生态效率情况，且已有研究多采用</w:t>
      </w:r>
      <w:r>
        <w:rPr>
          <w:rFonts w:hint="default" w:ascii="Times New Roman" w:hAnsi="Times New Roman" w:eastAsia="宋体" w:cs="Times New Roman"/>
          <w:color w:val="auto"/>
          <w:sz w:val="21"/>
          <w:szCs w:val="21"/>
          <w:lang w:val="en-US" w:eastAsia="zh-CN"/>
        </w:rPr>
        <w:t>GDP</w:t>
      </w:r>
      <w:r>
        <w:rPr>
          <w:rFonts w:hint="eastAsia" w:ascii="宋体" w:hAnsi="宋体" w:eastAsia="宋体" w:cs="宋体"/>
          <w:color w:val="auto"/>
          <w:sz w:val="21"/>
          <w:szCs w:val="21"/>
          <w:lang w:val="en-US" w:eastAsia="zh-CN"/>
        </w:rPr>
        <w:t>进行衡量，故将其作为期望产出指标；非期望产出主要以废气废水为代表，主要包括工业烟（粉）尘排放量、工业二氧化硫排放量和工业废水排放量3个指标（见表2）。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表2 京津冀城市群生态效率指标体系</w:t>
      </w:r>
    </w:p>
    <w:tbl>
      <w:tblPr>
        <w:tblStyle w:val="10"/>
        <w:tblW w:w="4998" w:type="pct"/>
        <w:jc w:val="center"/>
        <w:shd w:val="clear" w:color="auto" w:fill="auto"/>
        <w:tblLayout w:type="autofit"/>
        <w:tblCellMar>
          <w:top w:w="0" w:type="dxa"/>
          <w:left w:w="0" w:type="dxa"/>
          <w:bottom w:w="0" w:type="dxa"/>
          <w:right w:w="0" w:type="dxa"/>
        </w:tblCellMar>
      </w:tblPr>
      <w:tblGrid>
        <w:gridCol w:w="1191"/>
        <w:gridCol w:w="1299"/>
        <w:gridCol w:w="1056"/>
        <w:gridCol w:w="4781"/>
      </w:tblGrid>
      <w:tr>
        <w:tblPrEx>
          <w:shd w:val="clear" w:color="auto" w:fill="auto"/>
          <w:tblCellMar>
            <w:top w:w="0" w:type="dxa"/>
            <w:left w:w="0" w:type="dxa"/>
            <w:bottom w:w="0" w:type="dxa"/>
            <w:right w:w="0" w:type="dxa"/>
          </w:tblCellMar>
        </w:tblPrEx>
        <w:trPr>
          <w:trHeight w:val="318" w:hRule="atLeast"/>
          <w:jc w:val="center"/>
        </w:trPr>
        <w:tc>
          <w:tcPr>
            <w:tcW w:w="1495" w:type="pct"/>
            <w:gridSpan w:val="2"/>
            <w:tcBorders>
              <w:top w:val="single" w:color="000000" w:sz="4" w:space="0"/>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一级指标</w:t>
            </w:r>
          </w:p>
        </w:tc>
        <w:tc>
          <w:tcPr>
            <w:tcW w:w="3504" w:type="pct"/>
            <w:gridSpan w:val="2"/>
            <w:tcBorders>
              <w:top w:val="single" w:color="000000" w:sz="4" w:space="0"/>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Chars="20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二级指标/单位</w:t>
            </w:r>
          </w:p>
        </w:tc>
      </w:tr>
      <w:tr>
        <w:tblPrEx>
          <w:shd w:val="clear" w:color="auto" w:fill="auto"/>
          <w:tblCellMar>
            <w:top w:w="0" w:type="dxa"/>
            <w:left w:w="0" w:type="dxa"/>
            <w:bottom w:w="0" w:type="dxa"/>
            <w:right w:w="0" w:type="dxa"/>
          </w:tblCellMar>
        </w:tblPrEx>
        <w:trPr>
          <w:trHeight w:val="264" w:hRule="atLeast"/>
          <w:jc w:val="center"/>
        </w:trPr>
        <w:tc>
          <w:tcPr>
            <w:tcW w:w="715" w:type="pct"/>
            <w:vMerge w:val="restart"/>
            <w:tcBorders>
              <w:top w:val="single" w:color="auto" w:sz="4"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投入</w:t>
            </w:r>
          </w:p>
        </w:tc>
        <w:tc>
          <w:tcPr>
            <w:tcW w:w="779" w:type="pct"/>
            <w:tcBorders>
              <w:top w:val="single" w:color="auto" w:sz="4"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资本投入</w:t>
            </w:r>
          </w:p>
        </w:tc>
        <w:tc>
          <w:tcPr>
            <w:tcW w:w="3504" w:type="pct"/>
            <w:gridSpan w:val="2"/>
            <w:tcBorders>
              <w:top w:val="single" w:color="auto" w:sz="4"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固定资产投资总额/亿元</w:t>
            </w:r>
          </w:p>
        </w:tc>
      </w:tr>
      <w:tr>
        <w:tblPrEx>
          <w:shd w:val="clear" w:color="auto" w:fill="auto"/>
          <w:tblCellMar>
            <w:top w:w="0" w:type="dxa"/>
            <w:left w:w="0" w:type="dxa"/>
            <w:bottom w:w="0" w:type="dxa"/>
            <w:right w:w="0" w:type="dxa"/>
          </w:tblCellMar>
        </w:tblPrEx>
        <w:trPr>
          <w:trHeight w:val="90"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土地投入</w:t>
            </w:r>
          </w:p>
        </w:tc>
        <w:tc>
          <w:tcPr>
            <w:tcW w:w="3504"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城市建设用地面积/</w:t>
            </w:r>
            <w:r>
              <w:rPr>
                <w:rStyle w:val="25"/>
                <w:rFonts w:hint="default" w:ascii="Times New Roman" w:hAnsi="Times New Roman" w:eastAsia="宋体" w:cs="Times New Roman"/>
                <w:sz w:val="21"/>
                <w:szCs w:val="21"/>
                <w:lang w:val="en-US" w:eastAsia="zh-CN" w:bidi="ar"/>
              </w:rPr>
              <w:t>km</w:t>
            </w:r>
            <w:r>
              <w:rPr>
                <w:rStyle w:val="26"/>
                <w:rFonts w:hint="default" w:ascii="Times New Roman" w:hAnsi="Times New Roman" w:eastAsia="宋体" w:cs="Times New Roman"/>
                <w:sz w:val="21"/>
                <w:szCs w:val="21"/>
                <w:lang w:val="en-US" w:eastAsia="zh-CN" w:bidi="ar"/>
              </w:rPr>
              <w:t>2</w:t>
            </w:r>
          </w:p>
        </w:tc>
      </w:tr>
      <w:tr>
        <w:tblPrEx>
          <w:tblCellMar>
            <w:top w:w="0" w:type="dxa"/>
            <w:left w:w="0" w:type="dxa"/>
            <w:bottom w:w="0" w:type="dxa"/>
            <w:right w:w="0" w:type="dxa"/>
          </w:tblCellMar>
        </w:tblPrEx>
        <w:trPr>
          <w:trHeight w:val="90"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劳动力投入</w:t>
            </w:r>
          </w:p>
        </w:tc>
        <w:tc>
          <w:tcPr>
            <w:tcW w:w="3504"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每万人水利、环境设施管理从业人员人数/人</w:t>
            </w:r>
          </w:p>
        </w:tc>
      </w:tr>
      <w:tr>
        <w:tblPrEx>
          <w:tblCellMar>
            <w:top w:w="0" w:type="dxa"/>
            <w:left w:w="0" w:type="dxa"/>
            <w:bottom w:w="0" w:type="dxa"/>
            <w:right w:w="0" w:type="dxa"/>
          </w:tblCellMar>
        </w:tblPrEx>
        <w:trPr>
          <w:trHeight w:val="90"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vMerge w:val="restar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能源投入</w:t>
            </w:r>
          </w:p>
        </w:tc>
        <w:tc>
          <w:tcPr>
            <w:tcW w:w="634"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供水消耗</w:t>
            </w:r>
          </w:p>
        </w:tc>
        <w:tc>
          <w:tcPr>
            <w:tcW w:w="2870"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城市供水总量/</w:t>
            </w:r>
            <w:r>
              <w:rPr>
                <w:rStyle w:val="27"/>
                <w:rFonts w:hint="eastAsia" w:ascii="宋体" w:hAnsi="宋体" w:eastAsia="宋体" w:cs="宋体"/>
                <w:sz w:val="21"/>
                <w:szCs w:val="21"/>
                <w:lang w:val="en-US" w:eastAsia="zh-CN" w:bidi="ar"/>
              </w:rPr>
              <w:t>万</w:t>
            </w:r>
            <w:r>
              <w:rPr>
                <w:rStyle w:val="28"/>
                <w:rFonts w:hint="default" w:ascii="Times New Roman" w:hAnsi="Times New Roman" w:eastAsia="宋体" w:cs="Times New Roman"/>
                <w:sz w:val="21"/>
                <w:szCs w:val="21"/>
                <w:lang w:val="en-US" w:eastAsia="zh-CN" w:bidi="ar"/>
              </w:rPr>
              <w:t>m</w:t>
            </w:r>
            <w:r>
              <w:rPr>
                <w:rStyle w:val="26"/>
                <w:rFonts w:hint="default" w:ascii="Times New Roman" w:hAnsi="Times New Roman" w:eastAsia="宋体" w:cs="Times New Roman"/>
                <w:sz w:val="21"/>
                <w:szCs w:val="21"/>
                <w:lang w:val="en-US" w:eastAsia="zh-CN" w:bidi="ar"/>
              </w:rPr>
              <w:t>3</w:t>
            </w:r>
          </w:p>
        </w:tc>
      </w:tr>
      <w:tr>
        <w:tblPrEx>
          <w:tblCellMar>
            <w:top w:w="0" w:type="dxa"/>
            <w:left w:w="0" w:type="dxa"/>
            <w:bottom w:w="0" w:type="dxa"/>
            <w:right w:w="0" w:type="dxa"/>
          </w:tblCellMar>
        </w:tblPrEx>
        <w:trPr>
          <w:trHeight w:val="90"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634"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用电消耗</w:t>
            </w:r>
          </w:p>
        </w:tc>
        <w:tc>
          <w:tcPr>
            <w:tcW w:w="2870"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全社会用电量/</w:t>
            </w:r>
            <w:r>
              <w:rPr>
                <w:rStyle w:val="27"/>
                <w:rFonts w:hint="eastAsia" w:ascii="宋体" w:hAnsi="宋体" w:eastAsia="宋体" w:cs="宋体"/>
                <w:sz w:val="21"/>
                <w:szCs w:val="21"/>
                <w:lang w:val="en-US" w:eastAsia="zh-CN" w:bidi="ar"/>
              </w:rPr>
              <w:t>万</w:t>
            </w:r>
            <w:r>
              <w:rPr>
                <w:rStyle w:val="28"/>
                <w:rFonts w:hint="default" w:ascii="Times New Roman" w:hAnsi="Times New Roman" w:eastAsia="宋体" w:cs="Times New Roman"/>
                <w:sz w:val="21"/>
                <w:szCs w:val="21"/>
                <w:lang w:val="en-US" w:eastAsia="zh-CN" w:bidi="ar"/>
              </w:rPr>
              <w:t>kw·h</w:t>
            </w:r>
          </w:p>
        </w:tc>
      </w:tr>
      <w:tr>
        <w:tblPrEx>
          <w:shd w:val="clear" w:color="auto" w:fill="auto"/>
          <w:tblCellMar>
            <w:top w:w="0" w:type="dxa"/>
            <w:left w:w="0" w:type="dxa"/>
            <w:bottom w:w="0" w:type="dxa"/>
            <w:right w:w="0" w:type="dxa"/>
          </w:tblCellMar>
        </w:tblPrEx>
        <w:trPr>
          <w:trHeight w:val="108"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634"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煤气消耗</w:t>
            </w:r>
          </w:p>
        </w:tc>
        <w:tc>
          <w:tcPr>
            <w:tcW w:w="2870"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地区单位</w:t>
            </w:r>
            <w:r>
              <w:rPr>
                <w:rStyle w:val="25"/>
                <w:rFonts w:hint="default" w:ascii="Times New Roman" w:hAnsi="Times New Roman" w:eastAsia="宋体" w:cs="Times New Roman"/>
                <w:sz w:val="21"/>
                <w:szCs w:val="21"/>
                <w:lang w:val="en-US" w:eastAsia="zh-CN" w:bidi="ar"/>
              </w:rPr>
              <w:t>GDP</w:t>
            </w:r>
            <w:r>
              <w:rPr>
                <w:rStyle w:val="29"/>
                <w:rFonts w:hint="eastAsia" w:ascii="宋体" w:hAnsi="宋体" w:eastAsia="宋体" w:cs="宋体"/>
                <w:sz w:val="21"/>
                <w:szCs w:val="21"/>
                <w:lang w:val="en-US" w:eastAsia="zh-CN" w:bidi="ar"/>
              </w:rPr>
              <w:t>能耗（</w:t>
            </w:r>
            <w:r>
              <w:rPr>
                <w:rStyle w:val="29"/>
                <w:rFonts w:hint="default" w:ascii="Times New Roman" w:hAnsi="Times New Roman" w:eastAsia="宋体" w:cs="Times New Roman"/>
                <w:sz w:val="21"/>
                <w:szCs w:val="21"/>
                <w:lang w:val="en-US" w:eastAsia="zh-CN" w:bidi="ar"/>
              </w:rPr>
              <w:t>tce</w:t>
            </w:r>
            <w:r>
              <w:rPr>
                <w:rStyle w:val="29"/>
                <w:rFonts w:hint="eastAsia" w:ascii="宋体" w:hAnsi="宋体" w:eastAsia="宋体" w:cs="宋体"/>
                <w:sz w:val="21"/>
                <w:szCs w:val="21"/>
                <w:lang w:val="en-US" w:eastAsia="zh-CN" w:bidi="ar"/>
              </w:rPr>
              <w:t>/万元）</w:t>
            </w:r>
          </w:p>
        </w:tc>
      </w:tr>
      <w:tr>
        <w:tblPrEx>
          <w:shd w:val="clear" w:color="auto" w:fill="auto"/>
          <w:tblCellMar>
            <w:top w:w="0" w:type="dxa"/>
            <w:left w:w="0" w:type="dxa"/>
            <w:bottom w:w="0" w:type="dxa"/>
            <w:right w:w="0" w:type="dxa"/>
          </w:tblCellMar>
        </w:tblPrEx>
        <w:trPr>
          <w:trHeight w:val="90" w:hRule="atLeast"/>
          <w:jc w:val="center"/>
        </w:trPr>
        <w:tc>
          <w:tcPr>
            <w:tcW w:w="715"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期望产出</w:t>
            </w:r>
          </w:p>
        </w:tc>
        <w:tc>
          <w:tcPr>
            <w:tcW w:w="779" w:type="pc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经济增长</w:t>
            </w:r>
          </w:p>
        </w:tc>
        <w:tc>
          <w:tcPr>
            <w:tcW w:w="3504"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地区国民生产总值/亿元</w:t>
            </w:r>
          </w:p>
        </w:tc>
      </w:tr>
      <w:tr>
        <w:tblPrEx>
          <w:shd w:val="clear" w:color="auto" w:fill="auto"/>
          <w:tblCellMar>
            <w:top w:w="0" w:type="dxa"/>
            <w:left w:w="0" w:type="dxa"/>
            <w:bottom w:w="0" w:type="dxa"/>
            <w:right w:w="0" w:type="dxa"/>
          </w:tblCellMar>
        </w:tblPrEx>
        <w:trPr>
          <w:trHeight w:val="120" w:hRule="atLeast"/>
          <w:jc w:val="center"/>
        </w:trPr>
        <w:tc>
          <w:tcPr>
            <w:tcW w:w="715" w:type="pct"/>
            <w:vMerge w:val="restar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非期望产出</w:t>
            </w:r>
          </w:p>
        </w:tc>
        <w:tc>
          <w:tcPr>
            <w:tcW w:w="779" w:type="pct"/>
            <w:vMerge w:val="restart"/>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废气排放</w:t>
            </w:r>
          </w:p>
        </w:tc>
        <w:tc>
          <w:tcPr>
            <w:tcW w:w="3504"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工业烟（粉）尘排放量/</w:t>
            </w:r>
            <w:r>
              <w:rPr>
                <w:rStyle w:val="25"/>
                <w:rFonts w:hint="default" w:ascii="Times New Roman" w:hAnsi="Times New Roman" w:eastAsia="宋体" w:cs="Times New Roman"/>
                <w:sz w:val="21"/>
                <w:szCs w:val="21"/>
                <w:lang w:val="en-US" w:eastAsia="zh-CN" w:bidi="ar"/>
              </w:rPr>
              <w:t>t</w:t>
            </w:r>
          </w:p>
        </w:tc>
      </w:tr>
      <w:tr>
        <w:tblPrEx>
          <w:shd w:val="clear" w:color="auto" w:fill="auto"/>
          <w:tblCellMar>
            <w:top w:w="0" w:type="dxa"/>
            <w:left w:w="0" w:type="dxa"/>
            <w:bottom w:w="0" w:type="dxa"/>
            <w:right w:w="0" w:type="dxa"/>
          </w:tblCellMar>
        </w:tblPrEx>
        <w:trPr>
          <w:trHeight w:val="144" w:hRule="atLeast"/>
          <w:jc w:val="center"/>
        </w:trPr>
        <w:tc>
          <w:tcPr>
            <w:tcW w:w="715"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vMerge w:val="continue"/>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3504" w:type="pct"/>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工业二氧化硫排放量/</w:t>
            </w:r>
            <w:r>
              <w:rPr>
                <w:rStyle w:val="25"/>
                <w:rFonts w:hint="default" w:ascii="Times New Roman" w:hAnsi="Times New Roman" w:eastAsia="宋体" w:cs="Times New Roman"/>
                <w:sz w:val="21"/>
                <w:szCs w:val="21"/>
                <w:lang w:val="en-US" w:eastAsia="zh-CN" w:bidi="ar"/>
              </w:rPr>
              <w:t>t</w:t>
            </w:r>
          </w:p>
        </w:tc>
      </w:tr>
      <w:tr>
        <w:tblPrEx>
          <w:tblCellMar>
            <w:top w:w="0" w:type="dxa"/>
            <w:left w:w="0" w:type="dxa"/>
            <w:bottom w:w="0" w:type="dxa"/>
            <w:right w:w="0" w:type="dxa"/>
          </w:tblCellMar>
        </w:tblPrEx>
        <w:trPr>
          <w:trHeight w:val="318" w:hRule="atLeast"/>
          <w:jc w:val="center"/>
        </w:trPr>
        <w:tc>
          <w:tcPr>
            <w:tcW w:w="715" w:type="pct"/>
            <w:vMerge w:val="continue"/>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rPr>
            </w:pPr>
          </w:p>
        </w:tc>
        <w:tc>
          <w:tcPr>
            <w:tcW w:w="779" w:type="pct"/>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废水排放</w:t>
            </w:r>
          </w:p>
        </w:tc>
        <w:tc>
          <w:tcPr>
            <w:tcW w:w="3504" w:type="pct"/>
            <w:gridSpan w:val="2"/>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工业废水排放量/</w:t>
            </w:r>
            <w:r>
              <w:rPr>
                <w:rStyle w:val="25"/>
                <w:rFonts w:hint="default" w:ascii="Times New Roman" w:hAnsi="Times New Roman" w:eastAsia="宋体" w:cs="Times New Roman"/>
                <w:sz w:val="21"/>
                <w:szCs w:val="21"/>
                <w:lang w:val="en-US" w:eastAsia="zh-CN" w:bidi="ar"/>
              </w:rPr>
              <w:t>t</w:t>
            </w:r>
          </w:p>
        </w:tc>
      </w:tr>
    </w:tbl>
    <w:p>
      <w:pPr>
        <w:pStyle w:val="2"/>
        <w:pageBreakBefore w:val="0"/>
        <w:widowControl w:val="0"/>
        <w:kinsoku/>
        <w:wordWrap/>
        <w:overflowPunct/>
        <w:topLinePunct w:val="0"/>
        <w:bidi w:val="0"/>
        <w:adjustRightInd/>
        <w:snapToGrid/>
        <w:rPr>
          <w:rFonts w:hint="default"/>
          <w:lang w:val="en-US" w:eastAsia="zh-CN"/>
        </w:rPr>
      </w:pPr>
      <w:r>
        <w:rPr>
          <w:rFonts w:hint="eastAsia"/>
          <w:lang w:val="en-US" w:eastAsia="zh-CN"/>
        </w:rPr>
        <w:t>三、</w:t>
      </w:r>
      <w:r>
        <w:rPr>
          <w:rFonts w:hint="default"/>
          <w:lang w:val="en-US" w:eastAsia="zh-CN"/>
        </w:rPr>
        <w:t>研究方法</w:t>
      </w:r>
      <w:r>
        <w:rPr>
          <w:rFonts w:hint="eastAsia"/>
          <w:lang w:val="en-US" w:eastAsia="zh-CN"/>
        </w:rPr>
        <w:t>与数据来源</w:t>
      </w:r>
    </w:p>
    <w:p>
      <w:pPr>
        <w:pStyle w:val="3"/>
        <w:pageBreakBefore w:val="0"/>
        <w:widowControl w:val="0"/>
        <w:kinsoku/>
        <w:wordWrap/>
        <w:overflowPunct/>
        <w:topLinePunct w:val="0"/>
        <w:bidi w:val="0"/>
        <w:adjustRightInd/>
        <w:snapToGrid/>
        <w:rPr>
          <w:rFonts w:hint="default"/>
          <w:lang w:val="en-US" w:eastAsia="zh-CN"/>
        </w:rPr>
      </w:pPr>
      <w:r>
        <w:rPr>
          <w:rFonts w:hint="eastAsia"/>
          <w:lang w:val="en-US" w:eastAsia="zh-CN"/>
        </w:rPr>
        <w:t>（一）研究方法</w:t>
      </w:r>
    </w:p>
    <w:p>
      <w:pPr>
        <w:pStyle w:val="4"/>
        <w:keepNext w:val="0"/>
        <w:keepLines w:val="0"/>
        <w:pageBreakBefore w:val="0"/>
        <w:widowControl w:val="0"/>
        <w:kinsoku/>
        <w:wordWrap/>
        <w:overflowPunct/>
        <w:topLinePunct w:val="0"/>
        <w:autoSpaceDE w:val="0"/>
        <w:autoSpaceDN w:val="0"/>
        <w:bidi w:val="0"/>
        <w:adjustRightInd/>
        <w:snapToGrid/>
        <w:spacing w:line="400" w:lineRule="exact"/>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1.基于非期望产出的超效率</w:t>
      </w:r>
      <w:r>
        <w:rPr>
          <w:rFonts w:hint="default" w:ascii="Times New Roman" w:hAnsi="Times New Roman" w:eastAsia="宋体" w:cs="Times New Roman"/>
          <w:sz w:val="21"/>
          <w:szCs w:val="21"/>
          <w:lang w:val="en-US" w:eastAsia="zh-CN"/>
        </w:rPr>
        <w:t>SBM</w:t>
      </w:r>
      <w:r>
        <w:rPr>
          <w:rFonts w:hint="eastAsia" w:ascii="宋体" w:hAnsi="宋体" w:eastAsia="宋体" w:cs="宋体"/>
          <w:sz w:val="21"/>
          <w:szCs w:val="21"/>
          <w:lang w:val="en-US" w:eastAsia="zh-CN"/>
        </w:rPr>
        <w:t xml:space="preserve">模型 </w:t>
      </w:r>
      <w:r>
        <w:rPr>
          <w:rFonts w:hint="eastAsia" w:ascii="宋体" w:hAnsi="宋体" w:eastAsia="宋体" w:cs="宋体"/>
          <w:color w:val="auto"/>
          <w:sz w:val="21"/>
          <w:szCs w:val="21"/>
          <w:lang w:val="en-US" w:eastAsia="zh-CN"/>
        </w:rPr>
        <w:t>数据包络分析法</w:t>
      </w:r>
      <w:r>
        <w:rPr>
          <w:rFonts w:hint="default" w:ascii="Times New Roman" w:hAnsi="Times New Roman" w:eastAsia="宋体" w:cs="Times New Roman"/>
          <w:color w:val="auto"/>
          <w:sz w:val="21"/>
          <w:szCs w:val="21"/>
          <w:lang w:val="en-US" w:eastAsia="zh-CN"/>
        </w:rPr>
        <w:t>(DEA)</w:t>
      </w:r>
      <w:r>
        <w:rPr>
          <w:rFonts w:hint="eastAsia" w:ascii="宋体" w:hAnsi="宋体" w:eastAsia="宋体" w:cs="宋体"/>
          <w:color w:val="auto"/>
          <w:sz w:val="21"/>
          <w:szCs w:val="21"/>
          <w:lang w:val="en-US" w:eastAsia="zh-CN"/>
        </w:rPr>
        <w:t>是主要通过规划求解的形式测度决策单元</w:t>
      </w:r>
      <w:r>
        <w:rPr>
          <w:rFonts w:hint="default" w:ascii="Times New Roman" w:hAnsi="Times New Roman" w:eastAsia="宋体" w:cs="Times New Roman"/>
          <w:color w:val="auto"/>
          <w:sz w:val="21"/>
          <w:szCs w:val="21"/>
          <w:lang w:val="en-US" w:eastAsia="zh-CN"/>
        </w:rPr>
        <w:t>(DMU)</w:t>
      </w:r>
      <w:r>
        <w:rPr>
          <w:rFonts w:hint="eastAsia" w:ascii="宋体" w:hAnsi="宋体" w:eastAsia="宋体" w:cs="宋体"/>
          <w:color w:val="auto"/>
          <w:sz w:val="21"/>
          <w:szCs w:val="21"/>
          <w:lang w:val="en-US" w:eastAsia="zh-CN"/>
        </w:rPr>
        <w:t>效率的、被频繁使用的一种非参数方法，本文借鉴</w:t>
      </w:r>
      <w:r>
        <w:rPr>
          <w:rFonts w:hint="default" w:ascii="Times New Roman" w:hAnsi="Times New Roman" w:eastAsia="宋体" w:cs="Times New Roman"/>
          <w:color w:val="auto"/>
          <w:sz w:val="21"/>
          <w:szCs w:val="21"/>
          <w:lang w:val="en-US" w:eastAsia="zh-CN"/>
        </w:rPr>
        <w:t>Tone</w:t>
      </w:r>
      <w:r>
        <w:rPr>
          <w:rFonts w:hint="eastAsia" w:ascii="宋体" w:hAnsi="宋体" w:eastAsia="宋体" w:cs="宋体"/>
          <w:color w:val="auto"/>
          <w:sz w:val="21"/>
          <w:szCs w:val="21"/>
          <w:lang w:val="en-US" w:eastAsia="zh-CN"/>
        </w:rPr>
        <w:t>的研究，采用扩展的</w:t>
      </w:r>
      <w:r>
        <w:rPr>
          <w:rFonts w:hint="default" w:ascii="Times New Roman" w:hAnsi="Times New Roman" w:eastAsia="宋体" w:cs="Times New Roman"/>
          <w:color w:val="auto"/>
          <w:sz w:val="21"/>
          <w:szCs w:val="21"/>
          <w:lang w:val="en-US" w:eastAsia="zh-CN"/>
        </w:rPr>
        <w:t>DEA</w:t>
      </w:r>
      <w:r>
        <w:rPr>
          <w:rFonts w:hint="eastAsia" w:ascii="宋体" w:hAnsi="宋体" w:eastAsia="宋体" w:cs="宋体"/>
          <w:color w:val="auto"/>
          <w:sz w:val="21"/>
          <w:szCs w:val="21"/>
          <w:lang w:val="en-US" w:eastAsia="zh-CN"/>
        </w:rPr>
        <w:t>模型，构建非径向、非角度的超效率</w:t>
      </w:r>
      <w:r>
        <w:rPr>
          <w:rFonts w:hint="default" w:ascii="Times New Roman" w:hAnsi="Times New Roman" w:eastAsia="宋体" w:cs="Times New Roman"/>
          <w:color w:val="auto"/>
          <w:sz w:val="21"/>
          <w:szCs w:val="21"/>
          <w:lang w:val="en-US" w:eastAsia="zh-CN"/>
        </w:rPr>
        <w:t>SBM</w:t>
      </w:r>
      <w:r>
        <w:rPr>
          <w:rFonts w:hint="eastAsia" w:ascii="宋体" w:hAnsi="宋体" w:eastAsia="宋体" w:cs="宋体"/>
          <w:color w:val="auto"/>
          <w:sz w:val="21"/>
          <w:szCs w:val="21"/>
          <w:lang w:val="en-US" w:eastAsia="zh-CN"/>
        </w:rPr>
        <w:t>模型来测</w:t>
      </w:r>
      <w:r>
        <w:rPr>
          <w:rFonts w:hint="eastAsia" w:ascii="宋体" w:hAnsi="宋体" w:eastAsia="宋体" w:cs="宋体"/>
          <w:color w:val="000000" w:themeColor="text1"/>
          <w:sz w:val="21"/>
          <w:szCs w:val="21"/>
          <w:lang w:val="en-US" w:eastAsia="zh-CN"/>
          <w14:textFill>
            <w14:solidFill>
              <w14:schemeClr w14:val="tx1"/>
            </w14:solidFill>
          </w14:textFill>
        </w:rPr>
        <w:t>度京津冀生态效率，致力于客观评价该地区经济发展、城市治理与生态环境方面的综合状况。与传统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的DEA模</w:t>
      </w:r>
      <w:r>
        <w:rPr>
          <w:rFonts w:hint="eastAsia" w:ascii="宋体" w:hAnsi="宋体" w:eastAsia="宋体" w:cs="宋体"/>
          <w:color w:val="000000" w:themeColor="text1"/>
          <w:sz w:val="21"/>
          <w:szCs w:val="21"/>
          <w:lang w:val="en-US" w:eastAsia="zh-CN"/>
          <w14:textFill>
            <w14:solidFill>
              <w14:schemeClr w14:val="tx1"/>
            </w14:solidFill>
          </w14:textFill>
        </w:rPr>
        <w:t>型相比，该模型将松弛变量纳入目标函数，不仅能够有效处理非期望产出，还能同时评价比较多个生产前沿面</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DMU</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之间的效率高低</w:t>
      </w:r>
      <w:r>
        <w:rPr>
          <w:rFonts w:hint="eastAsia" w:ascii="宋体" w:hAnsi="宋体" w:eastAsia="宋体" w:cs="宋体"/>
          <w:color w:val="000000" w:themeColor="text1"/>
          <w:sz w:val="21"/>
          <w:szCs w:val="21"/>
          <w:lang w:val="en-US" w:eastAsia="zh-CN"/>
          <w14:textFill>
            <w14:solidFill>
              <w14:schemeClr w14:val="tx1"/>
            </w14:solidFill>
          </w14:textFill>
        </w:rPr>
        <w:t>，使效率结果更加准确。假设有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N</w:t>
      </w:r>
      <w:r>
        <w:rPr>
          <w:rFonts w:hint="eastAsia" w:ascii="宋体" w:hAnsi="宋体" w:eastAsia="宋体" w:cs="宋体"/>
          <w:color w:val="000000" w:themeColor="text1"/>
          <w:sz w:val="21"/>
          <w:szCs w:val="21"/>
          <w:lang w:val="en-US" w:eastAsia="zh-CN"/>
          <w14:textFill>
            <w14:solidFill>
              <w14:schemeClr w14:val="tx1"/>
            </w14:solidFill>
          </w14:textFill>
        </w:rPr>
        <w:t>个</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DMU</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auto"/>
          <w:sz w:val="21"/>
          <w:szCs w:val="21"/>
          <w:lang w:val="en-US" w:eastAsia="zh-CN"/>
        </w:rPr>
        <w:t>每个</w:t>
      </w:r>
      <w:r>
        <w:rPr>
          <w:rFonts w:hint="default" w:ascii="Times New Roman" w:hAnsi="Times New Roman" w:eastAsia="宋体" w:cs="Times New Roman"/>
          <w:color w:val="auto"/>
          <w:sz w:val="21"/>
          <w:szCs w:val="21"/>
          <w:lang w:val="en-US" w:eastAsia="zh-CN"/>
        </w:rPr>
        <w:t>DMU</w:t>
      </w:r>
      <w:r>
        <w:rPr>
          <w:rFonts w:hint="eastAsia" w:ascii="宋体" w:hAnsi="宋体" w:eastAsia="宋体" w:cs="宋体"/>
          <w:color w:val="auto"/>
          <w:sz w:val="21"/>
          <w:szCs w:val="21"/>
          <w:lang w:val="en-US" w:eastAsia="zh-CN"/>
        </w:rPr>
        <w:t>对应</w:t>
      </w: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种投入</w:t>
      </w:r>
      <w:r>
        <w:rPr>
          <w:rFonts w:hint="eastAsia" w:ascii="宋体" w:hAnsi="宋体" w:eastAsia="宋体" w:cs="宋体"/>
          <w:color w:val="auto"/>
          <w:sz w:val="21"/>
          <w:szCs w:val="21"/>
          <w:lang w:val="en-US" w:eastAsia="zh-CN"/>
        </w:rPr>
        <w:object>
          <v:shape id="_x0000_i1025" o:spt="75" type="#_x0000_t75" style="height:15pt;width:79.2pt;" o:ole="t" filled="f" o:preferrelative="t" stroked="f" coordsize="21600,21600">
            <v:path/>
            <v:fill on="f" focussize="0,0"/>
            <v:stroke on="f"/>
            <v:imagedata r:id="rId8" o:title=""/>
            <o:lock v:ext="edit" aspectratio="f"/>
            <w10:wrap type="none"/>
            <w10:anchorlock/>
          </v:shape>
          <o:OLEObject Type="Embed" ProgID="Equation.DSMT4" ShapeID="_x0000_i1025" DrawAspect="Content" ObjectID="_1468075725" r:id="rId7">
            <o:LockedField>false</o:LockedField>
          </o:OLEObject>
        </w:objec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种期望产出</w:t>
      </w:r>
      <w:r>
        <w:rPr>
          <w:rFonts w:hint="eastAsia" w:ascii="宋体" w:hAnsi="宋体" w:eastAsia="宋体" w:cs="宋体"/>
          <w:color w:val="auto"/>
          <w:sz w:val="21"/>
          <w:szCs w:val="21"/>
          <w:lang w:val="en-US" w:eastAsia="zh-CN"/>
        </w:rPr>
        <w:object>
          <v:shape id="_x0000_i1026" o:spt="75" type="#_x0000_t75" style="height:18pt;width:83pt;" o:ole="t" filled="f" o:preferrelative="t" stroked="f" coordsize="21600,21600">
            <v:path/>
            <v:fill on="f" focussize="0,0"/>
            <v:stroke on="f"/>
            <v:imagedata r:id="rId10" o:title=""/>
            <o:lock v:ext="edit" aspectratio="f"/>
            <w10:wrap type="none"/>
            <w10:anchorlock/>
          </v:shape>
          <o:OLEObject Type="Embed" ProgID="Equation.DSMT4" ShapeID="_x0000_i1026" DrawAspect="Content" ObjectID="_1468075726" r:id="rId9">
            <o:LockedField>false</o:LockedField>
          </o:OLEObject>
        </w:objec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K</w:t>
      </w:r>
      <w:r>
        <w:rPr>
          <w:rFonts w:hint="eastAsia" w:ascii="宋体" w:hAnsi="宋体" w:eastAsia="宋体" w:cs="宋体"/>
          <w:color w:val="auto"/>
          <w:sz w:val="21"/>
          <w:szCs w:val="21"/>
          <w:lang w:val="en-US" w:eastAsia="zh-CN"/>
        </w:rPr>
        <w:t>种非期望产出</w:t>
      </w:r>
      <w:r>
        <w:rPr>
          <w:rFonts w:hint="eastAsia" w:ascii="宋体" w:hAnsi="宋体" w:eastAsia="宋体" w:cs="宋体"/>
          <w:color w:val="auto"/>
          <w:sz w:val="21"/>
          <w:szCs w:val="21"/>
          <w:lang w:val="en-US" w:eastAsia="zh-CN"/>
        </w:rPr>
        <w:object>
          <v:shape id="_x0000_i1027" o:spt="75" type="#_x0000_t75" style="height:18pt;width:83pt;" o:ole="t" filled="f" o:preferrelative="t" stroked="f" coordsize="21600,21600">
            <v:path/>
            <v:fill on="f" focussize="0,0"/>
            <v:stroke on="f"/>
            <v:imagedata r:id="rId12" o:title=""/>
            <o:lock v:ext="edit" aspectratio="f"/>
            <w10:wrap type="none"/>
            <w10:anchorlock/>
          </v:shape>
          <o:OLEObject Type="Embed" ProgID="Equation.DSMT4" ShapeID="_x0000_i1027" DrawAspect="Content" ObjectID="_1468075727" r:id="rId11">
            <o:LockedField>false</o:LockedField>
          </o:OLEObject>
        </w:object>
      </w:r>
      <w:r>
        <w:rPr>
          <w:rFonts w:hint="eastAsia" w:ascii="宋体" w:hAnsi="宋体" w:eastAsia="宋体" w:cs="宋体"/>
          <w:color w:val="auto"/>
          <w:sz w:val="21"/>
          <w:szCs w:val="21"/>
          <w:lang w:val="en-US" w:eastAsia="zh-CN"/>
        </w:rPr>
        <w:t>，将模型构建为：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Calibri" w:hAnsi="Calibri" w:cs="Times New Roman"/>
          <w:color w:val="auto"/>
          <w:sz w:val="24"/>
          <w:szCs w:val="24"/>
          <w:lang w:val="en-US" w:eastAsia="zh-CN"/>
        </w:rPr>
      </w:pPr>
      <w:r>
        <w:rPr>
          <w:rFonts w:hint="eastAsia" w:ascii="Calibri" w:hAnsi="Calibri" w:cs="Times New Roman"/>
          <w:color w:val="auto"/>
          <w:position w:val="-64"/>
          <w:sz w:val="24"/>
          <w:szCs w:val="24"/>
          <w:lang w:val="en-US" w:eastAsia="zh-CN"/>
        </w:rPr>
        <w:object>
          <v:shape id="_x0000_i1028" o:spt="75" type="#_x0000_t75" style="height:70pt;width:168.95pt;" o:ole="t" filled="f" o:preferrelative="t" stroked="f" coordsize="21600,21600">
            <v:path/>
            <v:fill on="f" focussize="0,0"/>
            <v:stroke on="f"/>
            <v:imagedata r:id="rId14" o:title=""/>
            <o:lock v:ext="edit" aspectratio="f"/>
            <w10:wrap type="none"/>
            <w10:anchorlock/>
          </v:shape>
          <o:OLEObject Type="Embed" ProgID="Equation.DSMT4" ShapeID="_x0000_i1028" DrawAspect="Content" ObjectID="_1468075728" r:id="rId13">
            <o:LockedField>false</o:LockedField>
          </o:OLEObject>
        </w:object>
      </w:r>
      <w:r>
        <w:rPr>
          <w:rFonts w:hint="eastAsia" w:ascii="Calibri" w:hAnsi="Calibri" w:cs="Times New Roman"/>
          <w:color w:val="auto"/>
          <w:position w:val="-74"/>
          <w:sz w:val="24"/>
          <w:szCs w:val="24"/>
          <w:lang w:val="en-US" w:eastAsia="zh-CN"/>
        </w:rPr>
        <w:object>
          <v:shape id="_x0000_i1029" o:spt="75" type="#_x0000_t75" style="height:80pt;width:100pt;" o:ole="t" filled="f" o:preferrelative="t" stroked="f" coordsize="21600,21600">
            <v:path/>
            <v:fill on="f" focussize="0,0"/>
            <v:stroke on="f"/>
            <v:imagedata r:id="rId16" o:title=""/>
            <o:lock v:ext="edit" aspectratio="f"/>
            <w10:wrap type="none"/>
            <w10:anchorlock/>
          </v:shape>
          <o:OLEObject Type="Embed" ProgID="Equation.DSMT4" ShapeID="_x0000_i1029" DrawAspect="Content" ObjectID="_1468075729" r:id="rId15">
            <o:LockedField>false</o:LockedField>
          </o:OLEObject>
        </w:object>
      </w:r>
      <w:r>
        <w:rPr>
          <w:rFonts w:hint="eastAsia" w:ascii="Calibri" w:hAnsi="Calibri" w:cs="Times New Roman"/>
          <w:color w:val="auto"/>
          <w:position w:val="-74"/>
          <w:sz w:val="24"/>
          <w:szCs w:val="24"/>
          <w:lang w:val="en-US" w:eastAsia="zh-CN"/>
        </w:rPr>
        <w:t xml:space="preserve">                  </w:t>
      </w:r>
      <w:r>
        <w:rPr>
          <w:rFonts w:hint="eastAsia" w:ascii="宋体" w:hAnsi="宋体" w:eastAsia="宋体" w:cs="宋体"/>
          <w:color w:val="auto"/>
          <w:position w:val="-74"/>
          <w:sz w:val="24"/>
          <w:szCs w:val="24"/>
          <w:lang w:val="en-US" w:eastAsia="zh-CN"/>
        </w:rPr>
        <w:t>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其中，</w:t>
      </w:r>
      <w:r>
        <w:rPr>
          <w:rFonts w:hint="eastAsia" w:ascii="宋体" w:hAnsi="宋体" w:eastAsia="宋体" w:cs="宋体"/>
          <w:color w:val="auto"/>
          <w:position w:val="-6"/>
          <w:sz w:val="21"/>
          <w:szCs w:val="21"/>
          <w:lang w:val="en-US" w:eastAsia="zh-CN"/>
        </w:rPr>
        <w:object>
          <v:shape id="_x0000_i1030" o:spt="75" type="#_x0000_t75" style="height:13.95pt;width:11pt;" o:ole="t" filled="f" o:preferrelative="t" stroked="f" coordsize="21600,21600">
            <v:path/>
            <v:fill on="f" focussize="0,0"/>
            <v:stroke on="f"/>
            <v:imagedata r:id="rId18" o:title=""/>
            <o:lock v:ext="edit" aspectratio="f"/>
            <w10:wrap type="none"/>
            <w10:anchorlock/>
          </v:shape>
          <o:OLEObject Type="Embed" ProgID="Equation.DSMT4" ShapeID="_x0000_i1030" DrawAspect="Content" ObjectID="_1468075730" r:id="rId17">
            <o:LockedField>false</o:LockedField>
          </o:OLEObject>
        </w:object>
      </w:r>
      <w:r>
        <w:rPr>
          <w:rFonts w:hint="eastAsia" w:ascii="宋体" w:hAnsi="宋体" w:eastAsia="宋体" w:cs="宋体"/>
          <w:color w:val="auto"/>
          <w:sz w:val="21"/>
          <w:szCs w:val="21"/>
          <w:lang w:val="en-US" w:eastAsia="zh-CN"/>
        </w:rPr>
        <w:t>表示</w:t>
      </w:r>
      <w:r>
        <w:rPr>
          <w:rFonts w:hint="default" w:ascii="Times New Roman" w:hAnsi="Times New Roman" w:eastAsia="宋体" w:cs="Times New Roman"/>
          <w:color w:val="auto"/>
          <w:sz w:val="21"/>
          <w:szCs w:val="21"/>
          <w:lang w:val="en-US" w:eastAsia="zh-CN"/>
        </w:rPr>
        <w:t>DMU</w:t>
      </w:r>
      <w:r>
        <w:rPr>
          <w:rFonts w:hint="eastAsia" w:ascii="宋体" w:hAnsi="宋体" w:eastAsia="宋体" w:cs="宋体"/>
          <w:color w:val="auto"/>
          <w:sz w:val="21"/>
          <w:szCs w:val="21"/>
          <w:lang w:val="en-US" w:eastAsia="zh-CN"/>
        </w:rPr>
        <w:t>的线性组合系数，</w:t>
      </w:r>
      <w:r>
        <w:rPr>
          <w:rFonts w:hint="eastAsia" w:ascii="宋体" w:hAnsi="宋体" w:eastAsia="宋体" w:cs="宋体"/>
          <w:color w:val="auto"/>
          <w:position w:val="-12"/>
          <w:sz w:val="21"/>
          <w:szCs w:val="21"/>
          <w:lang w:val="en-US" w:eastAsia="zh-CN"/>
        </w:rPr>
        <w:object>
          <v:shape id="_x0000_i1031" o:spt="75" type="#_x0000_t75" style="height:18pt;width:46pt;" o:ole="t" filled="f" o:preferrelative="t" stroked="f" coordsize="21600,21600">
            <v:path/>
            <v:fill on="f" focussize="0,0"/>
            <v:stroke on="f"/>
            <v:imagedata r:id="rId20" o:title=""/>
            <o:lock v:ext="edit" aspectratio="f"/>
            <w10:wrap type="none"/>
            <w10:anchorlock/>
          </v:shape>
          <o:OLEObject Type="Embed" ProgID="Equation.DSMT4" ShapeID="_x0000_i1031" DrawAspect="Content" ObjectID="_1468075731" r:id="rId19">
            <o:LockedField>false</o:LockedField>
          </o:OLEObject>
        </w:object>
      </w:r>
      <w:r>
        <w:rPr>
          <w:rFonts w:hint="eastAsia" w:ascii="宋体" w:hAnsi="宋体" w:eastAsia="宋体" w:cs="宋体"/>
          <w:color w:val="auto"/>
          <w:sz w:val="21"/>
          <w:szCs w:val="21"/>
          <w:lang w:val="en-US" w:eastAsia="zh-CN"/>
        </w:rPr>
        <w:t>为第</w:t>
      </w:r>
      <w:r>
        <w:rPr>
          <w:rFonts w:hint="eastAsia" w:ascii="宋体" w:hAnsi="宋体" w:eastAsia="宋体" w:cs="宋体"/>
          <w:color w:val="auto"/>
          <w:position w:val="-6"/>
          <w:sz w:val="21"/>
          <w:szCs w:val="21"/>
          <w:lang w:val="en-US" w:eastAsia="zh-CN"/>
        </w:rPr>
        <w:object>
          <v:shape id="_x0000_i1032" o:spt="75" type="#_x0000_t75" style="height:11pt;width:10pt;" o:ole="t" filled="f" o:preferrelative="t" stroked="f" coordsize="21600,21600">
            <v:path/>
            <v:fill on="f" focussize="0,0"/>
            <v:stroke on="f"/>
            <v:imagedata r:id="rId22" o:title=""/>
            <o:lock v:ext="edit" aspectratio="f"/>
            <w10:wrap type="none"/>
            <w10:anchorlock/>
          </v:shape>
          <o:OLEObject Type="Embed" ProgID="Equation.DSMT4" ShapeID="_x0000_i1032" DrawAspect="Content" ObjectID="_1468075732" r:id="rId21">
            <o:LockedField>false</o:LockedField>
          </o:OLEObject>
        </w:object>
      </w:r>
      <w:r>
        <w:rPr>
          <w:rFonts w:hint="eastAsia" w:ascii="宋体" w:hAnsi="宋体" w:eastAsia="宋体" w:cs="宋体"/>
          <w:color w:val="auto"/>
          <w:sz w:val="21"/>
          <w:szCs w:val="21"/>
          <w:lang w:val="en-US" w:eastAsia="zh-CN"/>
        </w:rPr>
        <w:t>个决策单元投入产出数据的真实值，</w:t>
      </w:r>
      <w:r>
        <w:rPr>
          <w:rFonts w:hint="eastAsia" w:ascii="宋体" w:hAnsi="宋体" w:eastAsia="宋体" w:cs="宋体"/>
          <w:color w:val="auto"/>
          <w:position w:val="-10"/>
          <w:sz w:val="21"/>
          <w:szCs w:val="21"/>
          <w:lang w:val="en-US" w:eastAsia="zh-CN"/>
        </w:rPr>
        <w:object>
          <v:shape id="_x0000_i1033" o:spt="75" type="#_x0000_t75" style="height:18pt;width:52pt;" o:ole="t" filled="f" o:preferrelative="t" stroked="f" coordsize="21600,21600">
            <v:path/>
            <v:fill on="f" focussize="0,0"/>
            <v:stroke on="f"/>
            <v:imagedata r:id="rId24" o:title=""/>
            <o:lock v:ext="edit" aspectratio="f"/>
            <w10:wrap type="none"/>
            <w10:anchorlock/>
          </v:shape>
          <o:OLEObject Type="Embed" ProgID="Equation.DSMT4" ShapeID="_x0000_i1033" DrawAspect="Content" ObjectID="_1468075733" r:id="rId23">
            <o:LockedField>false</o:LockedField>
          </o:OLEObject>
        </w:object>
      </w:r>
      <w:r>
        <w:rPr>
          <w:rFonts w:hint="eastAsia" w:ascii="宋体" w:hAnsi="宋体" w:eastAsia="宋体" w:cs="宋体"/>
          <w:color w:val="auto"/>
          <w:sz w:val="21"/>
          <w:szCs w:val="21"/>
          <w:lang w:val="en-US" w:eastAsia="zh-CN"/>
        </w:rPr>
        <w:t>分别为投入、期望产出和非期望产出的松弛值。</w:t>
      </w:r>
      <w:r>
        <w:rPr>
          <w:rFonts w:hint="eastAsia" w:ascii="宋体" w:hAnsi="宋体" w:eastAsia="宋体" w:cs="宋体"/>
          <w:color w:val="auto"/>
          <w:position w:val="-10"/>
          <w:sz w:val="21"/>
          <w:szCs w:val="21"/>
          <w:lang w:val="en-US" w:eastAsia="zh-CN"/>
        </w:rPr>
        <w:object>
          <v:shape id="_x0000_i1034" o:spt="75" type="#_x0000_t75" style="height:13pt;width:12pt;" o:ole="t" filled="f" o:preferrelative="t" stroked="f" coordsize="21600,21600">
            <v:path/>
            <v:fill on="f" focussize="0,0"/>
            <v:stroke on="f"/>
            <v:imagedata r:id="rId26" o:title=""/>
            <o:lock v:ext="edit" aspectratio="f"/>
            <w10:wrap type="none"/>
            <w10:anchorlock/>
          </v:shape>
          <o:OLEObject Type="Embed" ProgID="Equation.DSMT4" ShapeID="_x0000_i1034" DrawAspect="Content" ObjectID="_1468075734" r:id="rId25">
            <o:LockedField>false</o:LockedField>
          </o:OLEObject>
        </w:object>
      </w:r>
      <w:r>
        <w:rPr>
          <w:rFonts w:hint="eastAsia" w:ascii="宋体" w:hAnsi="宋体" w:eastAsia="宋体" w:cs="宋体"/>
          <w:color w:val="auto"/>
          <w:sz w:val="21"/>
          <w:szCs w:val="21"/>
          <w:lang w:val="en-US" w:eastAsia="zh-CN"/>
        </w:rPr>
        <w:t>为城市生态效率值，当</w:t>
      </w:r>
      <w:r>
        <w:rPr>
          <w:rFonts w:hint="eastAsia" w:ascii="宋体" w:hAnsi="宋体" w:eastAsia="宋体" w:cs="宋体"/>
          <w:color w:val="auto"/>
          <w:position w:val="-10"/>
          <w:sz w:val="21"/>
          <w:szCs w:val="21"/>
          <w:lang w:val="en-US" w:eastAsia="zh-CN"/>
        </w:rPr>
        <w:object>
          <v:shape id="_x0000_i1035" o:spt="75" type="#_x0000_t75" style="height:16pt;width:27pt;" o:ole="t" filled="f" o:preferrelative="t" stroked="f" coordsize="21600,21600">
            <v:path/>
            <v:fill on="f" focussize="0,0"/>
            <v:stroke on="f"/>
            <v:imagedata r:id="rId28" o:title=""/>
            <o:lock v:ext="edit" aspectratio="f"/>
            <w10:wrap type="none"/>
            <w10:anchorlock/>
          </v:shape>
          <o:OLEObject Type="Embed" ProgID="Equation.DSMT4" ShapeID="_x0000_i1035" DrawAspect="Content" ObjectID="_1468075735" r:id="rId27">
            <o:LockedField>false</o:LockedField>
          </o:OLEObject>
        </w:object>
      </w:r>
      <w:r>
        <w:rPr>
          <w:rFonts w:hint="eastAsia" w:ascii="宋体" w:hAnsi="宋体" w:eastAsia="宋体" w:cs="宋体"/>
          <w:color w:val="auto"/>
          <w:sz w:val="21"/>
          <w:szCs w:val="21"/>
          <w:lang w:val="en-US" w:eastAsia="zh-CN"/>
        </w:rPr>
        <w:t>时，说明被评价</w:t>
      </w:r>
      <w:r>
        <w:rPr>
          <w:rFonts w:hint="default" w:ascii="Times New Roman" w:hAnsi="Times New Roman" w:eastAsia="宋体" w:cs="Times New Roman"/>
          <w:color w:val="auto"/>
          <w:sz w:val="21"/>
          <w:szCs w:val="21"/>
          <w:lang w:val="en-US" w:eastAsia="zh-CN"/>
        </w:rPr>
        <w:t>DMU</w:t>
      </w:r>
      <w:r>
        <w:rPr>
          <w:rFonts w:hint="eastAsia" w:ascii="宋体" w:hAnsi="宋体" w:eastAsia="宋体" w:cs="宋体"/>
          <w:color w:val="auto"/>
          <w:sz w:val="21"/>
          <w:szCs w:val="21"/>
          <w:lang w:val="en-US" w:eastAsia="zh-CN"/>
        </w:rPr>
        <w:t>是有效率的；当</w:t>
      </w:r>
      <w:r>
        <w:rPr>
          <w:rFonts w:hint="eastAsia" w:ascii="宋体" w:hAnsi="宋体" w:eastAsia="宋体" w:cs="宋体"/>
          <w:color w:val="auto"/>
          <w:position w:val="-10"/>
          <w:sz w:val="21"/>
          <w:szCs w:val="21"/>
          <w:lang w:val="en-US" w:eastAsia="zh-CN"/>
        </w:rPr>
        <w:object>
          <v:shape id="_x0000_i1036" o:spt="75" type="#_x0000_t75" style="height:16pt;width:45pt;" o:ole="t" filled="f" o:preferrelative="t" stroked="f" coordsize="21600,21600">
            <v:path/>
            <v:fill on="f" focussize="0,0"/>
            <v:stroke on="f"/>
            <v:imagedata r:id="rId30" o:title=""/>
            <o:lock v:ext="edit" aspectratio="f"/>
            <w10:wrap type="none"/>
            <w10:anchorlock/>
          </v:shape>
          <o:OLEObject Type="Embed" ProgID="Equation.DSMT4" ShapeID="_x0000_i1036" DrawAspect="Content" ObjectID="_1468075736" r:id="rId29">
            <o:LockedField>false</o:LockedField>
          </o:OLEObject>
        </w:object>
      </w:r>
      <w:r>
        <w:rPr>
          <w:rFonts w:hint="eastAsia" w:ascii="宋体" w:hAnsi="宋体" w:eastAsia="宋体" w:cs="宋体"/>
          <w:color w:val="auto"/>
          <w:sz w:val="21"/>
          <w:szCs w:val="21"/>
          <w:lang w:val="en-US" w:eastAsia="zh-CN"/>
        </w:rPr>
        <w:t>时，说明被评价</w:t>
      </w:r>
      <w:r>
        <w:rPr>
          <w:rFonts w:hint="default" w:ascii="Times New Roman" w:hAnsi="Times New Roman" w:eastAsia="宋体" w:cs="Times New Roman"/>
          <w:color w:val="auto"/>
          <w:sz w:val="21"/>
          <w:szCs w:val="21"/>
          <w:lang w:val="en-US" w:eastAsia="zh-CN"/>
        </w:rPr>
        <w:t>DMU</w:t>
      </w:r>
      <w:r>
        <w:rPr>
          <w:rFonts w:hint="eastAsia" w:ascii="宋体" w:hAnsi="宋体" w:eastAsia="宋体" w:cs="宋体"/>
          <w:color w:val="auto"/>
          <w:sz w:val="21"/>
          <w:szCs w:val="21"/>
          <w:lang w:val="en-US" w:eastAsia="zh-CN"/>
        </w:rPr>
        <w:t>存在效率改进空间，可以通过优化投入产出配置提高城市生态效率。</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再借鉴刘瑞翔、安同良</w:t>
      </w:r>
      <w:r>
        <w:rPr>
          <w:rFonts w:hint="eastAsia" w:ascii="宋体" w:hAnsi="宋体" w:eastAsia="宋体" w:cs="宋体"/>
          <w:color w:val="auto"/>
          <w:sz w:val="21"/>
          <w:szCs w:val="21"/>
          <w:vertAlign w:val="superscript"/>
          <w:lang w:val="en-US" w:eastAsia="zh-CN"/>
        </w:rPr>
        <w:t>[33]</w:t>
      </w:r>
      <w:r>
        <w:rPr>
          <w:rFonts w:hint="eastAsia" w:ascii="宋体" w:hAnsi="宋体" w:eastAsia="宋体" w:cs="宋体"/>
          <w:color w:val="auto"/>
          <w:sz w:val="21"/>
          <w:szCs w:val="21"/>
          <w:lang w:val="en-US" w:eastAsia="zh-CN"/>
        </w:rPr>
        <w:t>的做法，对生态无效率值进行计算，具体公式为：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Calibri" w:hAnsi="Calibri" w:cs="Times New Roman"/>
          <w:color w:val="auto"/>
          <w:position w:val="-30"/>
          <w:sz w:val="24"/>
          <w:szCs w:val="24"/>
          <w:lang w:val="en-US" w:eastAsia="zh-CN"/>
        </w:rPr>
      </w:pPr>
      <w:r>
        <w:rPr>
          <w:rFonts w:hint="default" w:ascii="Calibri" w:hAnsi="Calibri" w:cs="Times New Roman"/>
          <w:color w:val="auto"/>
          <w:position w:val="-30"/>
          <w:sz w:val="24"/>
          <w:szCs w:val="24"/>
          <w:lang w:val="en-US" w:eastAsia="zh-CN"/>
        </w:rPr>
        <w:object>
          <v:shape id="_x0000_i1037" o:spt="75" type="#_x0000_t75" style="height:36pt;width:204pt;" o:ole="t" filled="f" o:preferrelative="t" stroked="f" coordsize="21600,21600">
            <v:path/>
            <v:fill on="f" focussize="0,0"/>
            <v:stroke on="f"/>
            <v:imagedata r:id="rId32" o:title=""/>
            <o:lock v:ext="edit" aspectratio="f"/>
            <w10:wrap type="none"/>
            <w10:anchorlock/>
          </v:shape>
          <o:OLEObject Type="Embed" ProgID="Equation.DSMT4" ShapeID="_x0000_i1037" DrawAspect="Content" ObjectID="_1468075737" r:id="rId31">
            <o:LockedField>false</o:LockedField>
          </o:OLEObject>
        </w:object>
      </w:r>
      <w:r>
        <w:rPr>
          <w:rFonts w:hint="eastAsia" w:ascii="Calibri" w:hAnsi="Calibri" w:cs="Times New Roman"/>
          <w:color w:val="auto"/>
          <w:position w:val="-30"/>
          <w:sz w:val="24"/>
          <w:szCs w:val="24"/>
          <w:lang w:val="en-US" w:eastAsia="zh-CN"/>
        </w:rPr>
        <w:t xml:space="preserve">                             </w:t>
      </w:r>
      <w:r>
        <w:rPr>
          <w:rFonts w:hint="eastAsia" w:ascii="宋体" w:hAnsi="宋体" w:eastAsia="宋体" w:cs="宋体"/>
          <w:color w:val="auto"/>
          <w:position w:val="-30"/>
          <w:sz w:val="24"/>
          <w:szCs w:val="24"/>
          <w:lang w:val="en-US" w:eastAsia="zh-CN"/>
        </w:rPr>
        <w:t>⑵</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i w:val="0"/>
          <w:iCs w:val="0"/>
          <w:color w:val="auto"/>
          <w:position w:val="-30"/>
          <w:sz w:val="21"/>
          <w:szCs w:val="21"/>
          <w:lang w:val="en-US" w:eastAsia="zh-CN"/>
        </w:rPr>
      </w:pPr>
      <w:r>
        <w:rPr>
          <w:rFonts w:hint="eastAsia" w:ascii="宋体" w:hAnsi="宋体" w:eastAsia="宋体" w:cs="宋体"/>
          <w:color w:val="auto"/>
          <w:position w:val="-30"/>
          <w:sz w:val="21"/>
          <w:szCs w:val="21"/>
          <w:lang w:val="en-US" w:eastAsia="zh-CN"/>
        </w:rPr>
        <w:t>为进一步得到其具体来源，将投入、期望产出、非期望产出的无效率值公式分别表示为：</w:t>
      </w:r>
      <w:r>
        <w:rPr>
          <w:rFonts w:hint="eastAsia" w:ascii="宋体" w:hAnsi="宋体" w:eastAsia="宋体" w:cs="宋体"/>
          <w:color w:val="auto"/>
          <w:position w:val="-30"/>
          <w:sz w:val="21"/>
          <w:szCs w:val="21"/>
          <w:lang w:val="en-US" w:eastAsia="zh-CN"/>
        </w:rPr>
        <w:object>
          <v:shape id="_x0000_i1038" o:spt="75" type="#_x0000_t75" style="height:34.8pt;width:73.45pt;" o:ole="t" filled="f" o:preferrelative="t" stroked="f" coordsize="21600,21600">
            <v:path/>
            <v:fill on="f" focussize="0,0"/>
            <v:stroke on="f"/>
            <v:imagedata r:id="rId34" o:title=""/>
            <o:lock v:ext="edit" aspectratio="f"/>
            <w10:wrap type="none"/>
            <w10:anchorlock/>
          </v:shape>
          <o:OLEObject Type="Embed" ProgID="Equation.DSMT4" ShapeID="_x0000_i1038" DrawAspect="Content" ObjectID="_1468075738" r:id="rId33">
            <o:LockedField>false</o:LockedField>
          </o:OLEObject>
        </w:object>
      </w:r>
      <w:r>
        <w:rPr>
          <w:rFonts w:hint="eastAsia" w:ascii="宋体" w:hAnsi="宋体" w:eastAsia="宋体" w:cs="宋体"/>
          <w:color w:val="auto"/>
          <w:position w:val="-30"/>
          <w:sz w:val="21"/>
          <w:szCs w:val="21"/>
          <w:lang w:val="en-US" w:eastAsia="zh-CN"/>
        </w:rPr>
        <w:t>⑶；</w:t>
      </w:r>
      <w:r>
        <w:rPr>
          <w:rFonts w:hint="eastAsia" w:ascii="宋体" w:hAnsi="宋体" w:eastAsia="宋体" w:cs="宋体"/>
          <w:color w:val="auto"/>
          <w:position w:val="-30"/>
          <w:sz w:val="21"/>
          <w:szCs w:val="21"/>
          <w:lang w:val="en-US" w:eastAsia="zh-CN"/>
        </w:rPr>
        <w:object>
          <v:shape id="_x0000_i1039" o:spt="75" type="#_x0000_t75" style="height:34.2pt;width:74.4pt;" o:ole="t" filled="f" o:preferrelative="t" stroked="f" coordsize="21600,21600">
            <v:path/>
            <v:fill on="f" focussize="0,0"/>
            <v:stroke on="f"/>
            <v:imagedata r:id="rId36" o:title=""/>
            <o:lock v:ext="edit" aspectratio="f"/>
            <w10:wrap type="none"/>
            <w10:anchorlock/>
          </v:shape>
          <o:OLEObject Type="Embed" ProgID="Equation.DSMT4" ShapeID="_x0000_i1039" DrawAspect="Content" ObjectID="_1468075739" r:id="rId35">
            <o:LockedField>false</o:LockedField>
          </o:OLEObject>
        </w:object>
      </w:r>
      <w:r>
        <w:rPr>
          <w:rFonts w:hint="eastAsia" w:ascii="宋体" w:hAnsi="宋体" w:eastAsia="宋体" w:cs="宋体"/>
          <w:color w:val="auto"/>
          <w:position w:val="-30"/>
          <w:sz w:val="21"/>
          <w:szCs w:val="21"/>
          <w:lang w:val="en-US" w:eastAsia="zh-CN"/>
        </w:rPr>
        <w:t>⑷；</w:t>
      </w:r>
      <w:r>
        <w:rPr>
          <w:rFonts w:hint="eastAsia" w:ascii="宋体" w:hAnsi="宋体" w:eastAsia="宋体" w:cs="宋体"/>
          <w:color w:val="auto"/>
          <w:position w:val="-30"/>
          <w:sz w:val="21"/>
          <w:szCs w:val="21"/>
          <w:lang w:val="en-US" w:eastAsia="zh-CN"/>
        </w:rPr>
        <w:object>
          <v:shape id="_x0000_i1040" o:spt="75" type="#_x0000_t75" style="height:33.6pt;width:70.8pt;" o:ole="t" filled="f" o:preferrelative="t" stroked="f" coordsize="21600,21600">
            <v:path/>
            <v:fill on="f" focussize="0,0"/>
            <v:stroke on="f"/>
            <v:imagedata r:id="rId38" o:title=""/>
            <o:lock v:ext="edit" aspectratio="f"/>
            <w10:wrap type="none"/>
            <w10:anchorlock/>
          </v:shape>
          <o:OLEObject Type="Embed" ProgID="Equation.DSMT4" ShapeID="_x0000_i1040" DrawAspect="Content" ObjectID="_1468075740" r:id="rId37">
            <o:LockedField>false</o:LockedField>
          </o:OLEObject>
        </w:object>
      </w:r>
      <w:r>
        <w:rPr>
          <w:rFonts w:hint="eastAsia" w:ascii="宋体" w:hAnsi="宋体" w:eastAsia="宋体" w:cs="宋体"/>
          <w:color w:val="auto"/>
          <w:position w:val="-30"/>
          <w:sz w:val="21"/>
          <w:szCs w:val="21"/>
          <w:lang w:val="en-US" w:eastAsia="zh-CN"/>
        </w:rPr>
        <w:t>⑸。由于投入包括资本</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capital</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color w:val="auto"/>
          <w:position w:val="-30"/>
          <w:sz w:val="21"/>
          <w:szCs w:val="21"/>
          <w:lang w:val="en-US" w:eastAsia="zh-CN"/>
        </w:rPr>
        <w:t>、土地</w:t>
      </w:r>
      <w:r>
        <w:rPr>
          <w:rFonts w:hint="eastAsia" w:ascii="宋体" w:hAnsi="宋体" w:eastAsia="宋体" w:cs="宋体"/>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land</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color w:val="auto"/>
          <w:position w:val="-30"/>
          <w:sz w:val="21"/>
          <w:szCs w:val="21"/>
          <w:lang w:val="en-US" w:eastAsia="zh-CN"/>
        </w:rPr>
        <w:t>、劳动力</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labour</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color w:val="auto"/>
          <w:position w:val="-30"/>
          <w:sz w:val="21"/>
          <w:szCs w:val="21"/>
          <w:lang w:val="en-US" w:eastAsia="zh-CN"/>
        </w:rPr>
        <w:t>、能源</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energy</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i w:val="0"/>
          <w:iCs w:val="0"/>
          <w:color w:val="auto"/>
          <w:position w:val="-30"/>
          <w:sz w:val="21"/>
          <w:szCs w:val="21"/>
          <w:lang w:val="en-US" w:eastAsia="zh-CN"/>
        </w:rPr>
        <w:t>，期望产出包括地区生产总值</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GDP</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i w:val="0"/>
          <w:iCs w:val="0"/>
          <w:color w:val="auto"/>
          <w:position w:val="-30"/>
          <w:sz w:val="21"/>
          <w:szCs w:val="21"/>
          <w:lang w:val="en-US" w:eastAsia="zh-CN"/>
        </w:rPr>
        <w:t>，非期望产出包括废气</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air</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i w:val="0"/>
          <w:iCs w:val="0"/>
          <w:color w:val="auto"/>
          <w:position w:val="-30"/>
          <w:sz w:val="21"/>
          <w:szCs w:val="21"/>
          <w:lang w:val="en-US" w:eastAsia="zh-CN"/>
        </w:rPr>
        <w:t>和废水</w:t>
      </w:r>
      <w:r>
        <w:rPr>
          <w:rFonts w:hint="default" w:ascii="Times New Roman" w:hAnsi="Times New Roman" w:eastAsia="宋体" w:cs="Times New Roman"/>
          <w:i w:val="0"/>
          <w:iCs w:val="0"/>
          <w:color w:val="auto"/>
          <w:position w:val="-30"/>
          <w:sz w:val="21"/>
          <w:szCs w:val="21"/>
          <w:lang w:val="en-US" w:eastAsia="zh-CN"/>
        </w:rPr>
        <w:t>(</w:t>
      </w:r>
      <w:r>
        <w:rPr>
          <w:rFonts w:hint="default" w:ascii="Times New Roman" w:hAnsi="Times New Roman" w:eastAsia="宋体" w:cs="Times New Roman"/>
          <w:i/>
          <w:iCs/>
          <w:color w:val="auto"/>
          <w:position w:val="-30"/>
          <w:sz w:val="21"/>
          <w:szCs w:val="21"/>
          <w:lang w:val="en-US" w:eastAsia="zh-CN"/>
        </w:rPr>
        <w:t>water</w:t>
      </w:r>
      <w:r>
        <w:rPr>
          <w:rFonts w:hint="default" w:ascii="Times New Roman" w:hAnsi="Times New Roman" w:eastAsia="宋体" w:cs="Times New Roman"/>
          <w:i w:val="0"/>
          <w:iCs w:val="0"/>
          <w:color w:val="auto"/>
          <w:position w:val="-30"/>
          <w:sz w:val="21"/>
          <w:szCs w:val="21"/>
          <w:lang w:val="en-US" w:eastAsia="zh-CN"/>
        </w:rPr>
        <w:t>)</w:t>
      </w:r>
      <w:r>
        <w:rPr>
          <w:rFonts w:hint="eastAsia" w:ascii="宋体" w:hAnsi="宋体" w:eastAsia="宋体" w:cs="宋体"/>
          <w:i w:val="0"/>
          <w:iCs w:val="0"/>
          <w:color w:val="auto"/>
          <w:position w:val="-30"/>
          <w:sz w:val="21"/>
          <w:szCs w:val="21"/>
          <w:lang w:val="en-US" w:eastAsia="zh-CN"/>
        </w:rPr>
        <w:t>排放量，因此可进一步分解生态无效率的详细信息，即：</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Calibri" w:hAnsi="Calibri" w:cs="Times New Roman"/>
          <w:color w:val="auto"/>
          <w:position w:val="-30"/>
          <w:sz w:val="24"/>
          <w:szCs w:val="24"/>
          <w:lang w:val="en-US" w:eastAsia="zh-CN"/>
        </w:rPr>
      </w:pPr>
      <w:r>
        <w:rPr>
          <w:rFonts w:hint="default" w:ascii="Calibri" w:hAnsi="Calibri" w:cs="Times New Roman"/>
          <w:color w:val="auto"/>
          <w:position w:val="-14"/>
          <w:sz w:val="24"/>
          <w:szCs w:val="24"/>
          <w:lang w:val="en-US" w:eastAsia="zh-CN"/>
        </w:rPr>
        <w:object>
          <v:shape id="_x0000_i1041" o:spt="75" type="#_x0000_t75" style="height:19pt;width:253pt;" o:ole="t" filled="f" o:preferrelative="t" stroked="f" coordsize="21600,21600">
            <v:path/>
            <v:fill on="f" focussize="0,0"/>
            <v:stroke on="f"/>
            <v:imagedata r:id="rId40" o:title=""/>
            <o:lock v:ext="edit" aspectratio="f"/>
            <w10:wrap type="none"/>
            <w10:anchorlock/>
          </v:shape>
          <o:OLEObject Type="Embed" ProgID="Equation.DSMT4" ShapeID="_x0000_i1041" DrawAspect="Content" ObjectID="_1468075741" r:id="rId39">
            <o:LockedField>false</o:LockedField>
          </o:OLEObject>
        </w:object>
      </w:r>
      <w:r>
        <w:rPr>
          <w:rFonts w:hint="eastAsia" w:ascii="Calibri" w:hAnsi="Calibri" w:cs="Times New Roman"/>
          <w:color w:val="auto"/>
          <w:position w:val="-14"/>
          <w:sz w:val="24"/>
          <w:szCs w:val="24"/>
          <w:lang w:val="en-US" w:eastAsia="zh-CN"/>
        </w:rPr>
        <w:t xml:space="preserve">                     </w:t>
      </w:r>
      <w:r>
        <w:rPr>
          <w:rFonts w:hint="eastAsia" w:ascii="宋体" w:hAnsi="宋体" w:eastAsia="宋体" w:cs="宋体"/>
          <w:color w:val="auto"/>
          <w:position w:val="-14"/>
          <w:sz w:val="21"/>
          <w:szCs w:val="21"/>
          <w:lang w:val="en-US" w:eastAsia="zh-CN"/>
        </w:rPr>
        <w:t>⑹</w:t>
      </w:r>
    </w:p>
    <w:p>
      <w:pPr>
        <w:bidi w:val="0"/>
        <w:rPr>
          <w:rFonts w:hint="default"/>
          <w:lang w:val="en-US" w:eastAsia="zh-CN"/>
        </w:rPr>
      </w:pPr>
      <w:r>
        <w:rPr>
          <w:rFonts w:hint="eastAsia" w:ascii="宋体" w:hAnsi="宋体" w:eastAsia="宋体" w:cs="宋体"/>
          <w:lang w:val="en-US" w:eastAsia="zh-CN"/>
        </w:rPr>
        <w:t>2.</w:t>
      </w:r>
      <w:r>
        <w:rPr>
          <w:rFonts w:hint="eastAsia"/>
          <w:lang w:val="en-US" w:eastAsia="zh-CN"/>
        </w:rPr>
        <w:t>系统广义矩估计</w:t>
      </w:r>
      <w:r>
        <w:rPr>
          <w:rFonts w:hint="default" w:ascii="Times New Roman" w:hAnsi="Times New Roman" w:eastAsia="宋体" w:cs="Times New Roman"/>
          <w:lang w:val="en-US" w:eastAsia="zh-CN"/>
        </w:rPr>
        <w:t>(SYS-GMM)</w:t>
      </w:r>
      <w:r>
        <w:rPr>
          <w:rFonts w:hint="eastAsia"/>
          <w:lang w:val="en-US" w:eastAsia="zh-CN"/>
        </w:rPr>
        <w:t xml:space="preserve">方法 </w:t>
      </w:r>
      <w:r>
        <w:rPr>
          <w:rFonts w:hint="default"/>
          <w:lang w:val="en-US" w:eastAsia="zh-CN"/>
        </w:rPr>
        <w:t>采用</w:t>
      </w:r>
      <w:r>
        <w:rPr>
          <w:rFonts w:hint="eastAsia"/>
          <w:lang w:val="en-US" w:eastAsia="zh-CN"/>
        </w:rPr>
        <w:t>系统广义矩估计</w:t>
      </w:r>
      <w:r>
        <w:rPr>
          <w:rFonts w:hint="default" w:ascii="Times New Roman" w:hAnsi="Times New Roman" w:eastAsia="宋体" w:cs="Times New Roman"/>
          <w:lang w:val="en-US" w:eastAsia="zh-CN"/>
        </w:rPr>
        <w:t>(SYS-GMM)</w:t>
      </w:r>
      <w:r>
        <w:rPr>
          <w:rFonts w:hint="default"/>
          <w:lang w:val="en-US" w:eastAsia="zh-CN"/>
        </w:rPr>
        <w:t>方法</w:t>
      </w:r>
      <w:r>
        <w:rPr>
          <w:rFonts w:hint="eastAsia"/>
          <w:lang w:val="en-US" w:eastAsia="zh-CN"/>
        </w:rPr>
        <w:t>能够修正未观察到的异方差问题、遗漏变量偏差和潜在的内生性问题</w:t>
      </w:r>
      <w:r>
        <w:rPr>
          <w:rFonts w:hint="default"/>
          <w:lang w:val="en-US" w:eastAsia="zh-CN"/>
        </w:rPr>
        <w:t>，同时加入工具变量解决面板数据序列相关的问题</w:t>
      </w:r>
      <w:r>
        <w:rPr>
          <w:rFonts w:hint="eastAsia"/>
          <w:lang w:val="en-US" w:eastAsia="zh-CN"/>
        </w:rPr>
        <w:t>。构造</w:t>
      </w:r>
      <w:r>
        <w:rPr>
          <w:rFonts w:hint="default" w:ascii="Times New Roman" w:hAnsi="Times New Roman" w:eastAsia="宋体" w:cs="Times New Roman"/>
          <w:lang w:val="en-US" w:eastAsia="zh-CN"/>
        </w:rPr>
        <w:t>SYS-GMM</w:t>
      </w:r>
      <w:r>
        <w:rPr>
          <w:rFonts w:hint="eastAsia"/>
          <w:lang w:val="en-US" w:eastAsia="zh-CN"/>
        </w:rPr>
        <w:t>动态面板回归模型，将被解释变量的滞后项作为解释变量引入其中，使得模型具有动态解释能力</w:t>
      </w:r>
      <w:r>
        <w:rPr>
          <w:rFonts w:hint="default"/>
          <w:lang w:val="en-US" w:eastAsia="zh-CN"/>
        </w:rPr>
        <w:t>。公式如下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center"/>
        <w:rPr>
          <w:rFonts w:hint="default" w:ascii="宋体" w:hAnsi="宋体" w:eastAsia="宋体" w:cs="宋体"/>
          <w:position w:val="-12"/>
          <w:sz w:val="24"/>
          <w:szCs w:val="24"/>
          <w:lang w:val="en-US" w:eastAsia="zh-CN"/>
        </w:rPr>
      </w:pPr>
      <w:r>
        <w:rPr>
          <w:rFonts w:hint="default" w:ascii="宋体" w:hAnsi="宋体" w:eastAsia="宋体" w:cs="宋体"/>
          <w:position w:val="-12"/>
          <w:sz w:val="24"/>
          <w:szCs w:val="24"/>
          <w:lang w:val="en-US" w:eastAsia="zh-CN"/>
        </w:rPr>
        <w:object>
          <v:shape id="_x0000_i1042" o:spt="75" type="#_x0000_t75" style="height:16.9pt;width:415.05pt;" o:ole="t" filled="f" o:preferrelative="t" stroked="f" coordsize="21600,21600">
            <v:path/>
            <v:fill on="f" focussize="0,0"/>
            <v:stroke on="f"/>
            <v:imagedata r:id="rId42" o:title=""/>
            <o:lock v:ext="edit" aspectratio="f"/>
            <w10:wrap type="none"/>
            <w10:anchorlock/>
          </v:shape>
          <o:OLEObject Type="Embed" ProgID="Equation.DSMT4" ShapeID="_x0000_i1042" DrawAspect="Content" ObjectID="_1468075742" r:id="rId41">
            <o:LockedField>false</o:LockedField>
          </o:OLEObject>
        </w:object>
      </w:r>
      <w:r>
        <w:rPr>
          <w:rFonts w:hint="eastAsia" w:ascii="宋体" w:hAnsi="宋体" w:eastAsia="宋体" w:cs="宋体"/>
          <w:position w:val="-12"/>
          <w:sz w:val="21"/>
          <w:szCs w:val="21"/>
          <w:lang w:val="en-US" w:eastAsia="zh-CN"/>
        </w:rPr>
        <w:t>⑺</w:t>
      </w:r>
    </w:p>
    <w:p>
      <w:pPr>
        <w:bidi w:val="0"/>
        <w:rPr>
          <w:rFonts w:hint="eastAsia"/>
          <w:lang w:val="en-US" w:eastAsia="zh-CN"/>
        </w:rPr>
      </w:pPr>
      <w:r>
        <w:rPr>
          <w:rFonts w:hint="eastAsia"/>
          <w:lang w:val="en-US" w:eastAsia="zh-CN"/>
        </w:rPr>
        <w:t>其中，</w:t>
      </w:r>
      <w:r>
        <w:rPr>
          <w:rFonts w:hint="default" w:ascii="宋体" w:hAnsi="宋体" w:eastAsia="宋体" w:cs="宋体"/>
          <w:position w:val="-6"/>
          <w:szCs w:val="24"/>
          <w:lang w:val="en-US" w:eastAsia="zh-CN"/>
        </w:rPr>
        <w:object>
          <v:shape id="_x0000_i1043" o:spt="75" type="#_x0000_t75" style="height:13pt;width:6.95pt;" o:ole="t" filled="f" o:preferrelative="t" stroked="f" coordsize="21600,21600">
            <v:path/>
            <v:fill on="f" focussize="0,0"/>
            <v:stroke on="f"/>
            <v:imagedata r:id="rId44" o:title=""/>
            <o:lock v:ext="edit" aspectratio="f"/>
            <w10:wrap type="none"/>
            <w10:anchorlock/>
          </v:shape>
          <o:OLEObject Type="Embed" ProgID="Equation.DSMT4" ShapeID="_x0000_i1043" DrawAspect="Content" ObjectID="_1468075743" r:id="rId43">
            <o:LockedField>false</o:LockedField>
          </o:OLEObject>
        </w:object>
      </w:r>
      <w:r>
        <w:rPr>
          <w:rFonts w:hint="default"/>
          <w:lang w:val="en-US" w:eastAsia="zh-CN"/>
        </w:rPr>
        <w:t>和</w:t>
      </w:r>
      <w:r>
        <w:rPr>
          <w:rFonts w:hint="default" w:ascii="宋体" w:hAnsi="宋体" w:eastAsia="宋体" w:cs="宋体"/>
          <w:position w:val="-6"/>
          <w:szCs w:val="24"/>
          <w:lang w:val="en-US" w:eastAsia="zh-CN"/>
        </w:rPr>
        <w:object>
          <v:shape id="_x0000_i1044" o:spt="75" type="#_x0000_t75" style="height:12pt;width:6.95pt;" o:ole="t" filled="f" o:preferrelative="t" stroked="f" coordsize="21600,21600">
            <v:path/>
            <v:fill on="f" focussize="0,0"/>
            <v:stroke on="f"/>
            <v:imagedata r:id="rId46" o:title=""/>
            <o:lock v:ext="edit" aspectratio="f"/>
            <w10:wrap type="none"/>
            <w10:anchorlock/>
          </v:shape>
          <o:OLEObject Type="Embed" ProgID="Equation.DSMT4" ShapeID="_x0000_i1044" DrawAspect="Content" ObjectID="_1468075744" r:id="rId45">
            <o:LockedField>false</o:LockedField>
          </o:OLEObject>
        </w:object>
      </w:r>
      <w:r>
        <w:rPr>
          <w:rFonts w:hint="default"/>
          <w:lang w:val="en-US" w:eastAsia="zh-CN"/>
        </w:rPr>
        <w:t>分别代表</w:t>
      </w:r>
      <w:r>
        <w:rPr>
          <w:rFonts w:hint="eastAsia"/>
          <w:lang w:val="en-US" w:eastAsia="zh-CN"/>
        </w:rPr>
        <w:t>京津冀各市生态环境</w:t>
      </w:r>
      <w:r>
        <w:rPr>
          <w:rFonts w:hint="default"/>
          <w:lang w:val="en-US" w:eastAsia="zh-CN"/>
        </w:rPr>
        <w:t>与时期。</w:t>
      </w:r>
      <w:r>
        <w:rPr>
          <w:rFonts w:hint="eastAsia" w:ascii="宋体" w:hAnsi="宋体" w:eastAsia="宋体" w:cs="宋体"/>
          <w:position w:val="-12"/>
          <w:szCs w:val="24"/>
          <w:vertAlign w:val="baseline"/>
          <w:lang w:val="en-US" w:eastAsia="zh-CN"/>
        </w:rPr>
        <w:object>
          <v:shape id="_x0000_i1045" o:spt="75" type="#_x0000_t75" style="height:18pt;width:39pt;" o:ole="t" filled="f" o:preferrelative="t" stroked="f" coordsize="21600,21600">
            <v:path/>
            <v:fill on="f" focussize="0,0"/>
            <v:stroke on="f"/>
            <v:imagedata r:id="rId48" o:title=""/>
            <o:lock v:ext="edit" aspectratio="f"/>
            <w10:wrap type="none"/>
            <w10:anchorlock/>
          </v:shape>
          <o:OLEObject Type="Embed" ProgID="Equation.DSMT4" ShapeID="_x0000_i1045" DrawAspect="Content" ObjectID="_1468075745" r:id="rId47">
            <o:LockedField>false</o:LockedField>
          </o:OLEObject>
        </w:object>
      </w:r>
      <w:r>
        <w:rPr>
          <w:rFonts w:hint="eastAsia"/>
          <w:lang w:val="en-US" w:eastAsia="zh-CN"/>
        </w:rPr>
        <w:t>为</w:t>
      </w:r>
      <w:r>
        <w:rPr>
          <w:rFonts w:hint="eastAsia" w:ascii="宋体" w:hAnsi="宋体" w:eastAsia="宋体" w:cs="宋体"/>
          <w:position w:val="-6"/>
          <w:szCs w:val="24"/>
          <w:vertAlign w:val="baseline"/>
          <w:lang w:val="en-US" w:eastAsia="zh-CN"/>
        </w:rPr>
        <w:object>
          <v:shape id="_x0000_i1046" o:spt="75" type="#_x0000_t75" style="height:13pt;width:6.95pt;" o:ole="t" filled="f" o:preferrelative="t" stroked="f" coordsize="21600,21600">
            <v:path/>
            <v:fill on="f" focussize="0,0"/>
            <v:stroke on="f"/>
            <v:imagedata r:id="rId50" o:title=""/>
            <o:lock v:ext="edit" aspectratio="f"/>
            <w10:wrap type="none"/>
            <w10:anchorlock/>
          </v:shape>
          <o:OLEObject Type="Embed" ProgID="Equation.DSMT4" ShapeID="_x0000_i1046" DrawAspect="Content" ObjectID="_1468075746" r:id="rId49">
            <o:LockedField>false</o:LockedField>
          </o:OLEObject>
        </w:object>
      </w:r>
      <w:r>
        <w:rPr>
          <w:rFonts w:hint="eastAsia"/>
          <w:lang w:val="en-US" w:eastAsia="zh-CN"/>
        </w:rPr>
        <w:t>市生态在第</w:t>
      </w:r>
      <w:r>
        <w:rPr>
          <w:rFonts w:hint="eastAsia" w:ascii="宋体" w:hAnsi="宋体" w:eastAsia="宋体" w:cs="宋体"/>
          <w:position w:val="-6"/>
          <w:szCs w:val="24"/>
          <w:vertAlign w:val="baseline"/>
          <w:lang w:val="en-US" w:eastAsia="zh-CN"/>
        </w:rPr>
        <w:object>
          <v:shape id="_x0000_i1047" o:spt="75" type="#_x0000_t75" style="height:12pt;width:6.95pt;" o:ole="t" filled="f" o:preferrelative="t" stroked="f" coordsize="21600,21600">
            <v:path/>
            <v:fill on="f" focussize="0,0"/>
            <v:stroke on="f"/>
            <v:imagedata r:id="rId52" o:title=""/>
            <o:lock v:ext="edit" aspectratio="f"/>
            <w10:wrap type="none"/>
            <w10:anchorlock/>
          </v:shape>
          <o:OLEObject Type="Embed" ProgID="Equation.DSMT4" ShapeID="_x0000_i1047" DrawAspect="Content" ObjectID="_1468075747" r:id="rId51">
            <o:LockedField>false</o:LockedField>
          </o:OLEObject>
        </w:object>
      </w:r>
      <w:r>
        <w:rPr>
          <w:rFonts w:hint="eastAsia"/>
          <w:lang w:val="en-US" w:eastAsia="zh-CN"/>
        </w:rPr>
        <w:t>期的效率值，</w:t>
      </w:r>
      <w:r>
        <w:rPr>
          <w:rFonts w:hint="eastAsia" w:ascii="宋体" w:hAnsi="宋体" w:eastAsia="宋体" w:cs="宋体"/>
          <w:position w:val="-12"/>
          <w:szCs w:val="24"/>
          <w:vertAlign w:val="baseline"/>
          <w:lang w:val="en-US" w:eastAsia="zh-CN"/>
        </w:rPr>
        <w:object>
          <v:shape id="_x0000_i1048" o:spt="75" type="#_x0000_t75" style="height:18pt;width:45pt;" o:ole="t" filled="f" o:preferrelative="t" stroked="f" coordsize="21600,21600">
            <v:path/>
            <v:fill on="f" focussize="0,0"/>
            <v:stroke on="f"/>
            <v:imagedata r:id="rId54" o:title=""/>
            <o:lock v:ext="edit" aspectratio="f"/>
            <w10:wrap type="none"/>
            <w10:anchorlock/>
          </v:shape>
          <o:OLEObject Type="Embed" ProgID="Equation.DSMT4" ShapeID="_x0000_i1048" DrawAspect="Content" ObjectID="_1468075748" r:id="rId53">
            <o:LockedField>false</o:LockedField>
          </o:OLEObject>
        </w:object>
      </w:r>
      <w:r>
        <w:rPr>
          <w:rFonts w:hint="eastAsia"/>
          <w:lang w:val="en-US" w:eastAsia="zh-CN"/>
        </w:rPr>
        <w:t>为滞后一期生态效率值，</w:t>
      </w:r>
      <w:r>
        <w:rPr>
          <w:rFonts w:hint="eastAsia" w:ascii="宋体" w:hAnsi="宋体" w:eastAsia="宋体" w:cs="宋体"/>
          <w:position w:val="-12"/>
          <w:szCs w:val="24"/>
          <w:vertAlign w:val="baseline"/>
          <w:lang w:val="en-US" w:eastAsia="zh-CN"/>
        </w:rPr>
        <w:object>
          <v:shape id="_x0000_i1049" o:spt="75" type="#_x0000_t75" style="height:18pt;width:15pt;" o:ole="t" filled="f" o:preferrelative="t" stroked="f" coordsize="21600,21600">
            <v:path/>
            <v:fill on="f" focussize="0,0"/>
            <v:stroke on="f"/>
            <v:imagedata r:id="rId56" o:title=""/>
            <o:lock v:ext="edit" aspectratio="f"/>
            <w10:wrap type="none"/>
            <w10:anchorlock/>
          </v:shape>
          <o:OLEObject Type="Embed" ProgID="Equation.DSMT4" ShapeID="_x0000_i1049" DrawAspect="Content" ObjectID="_1468075749" r:id="rId55">
            <o:LockedField>false</o:LockedField>
          </o:OLEObject>
        </w:object>
      </w:r>
      <w:r>
        <w:rPr>
          <w:rFonts w:hint="eastAsia"/>
          <w:lang w:val="en-US" w:eastAsia="zh-CN"/>
        </w:rPr>
        <w:t>为常数项，</w:t>
      </w:r>
      <w:r>
        <w:rPr>
          <w:rFonts w:hint="eastAsia" w:ascii="宋体" w:hAnsi="宋体" w:eastAsia="宋体" w:cs="宋体"/>
          <w:position w:val="-12"/>
          <w:szCs w:val="24"/>
          <w:vertAlign w:val="baseline"/>
          <w:lang w:val="en-US" w:eastAsia="zh-CN"/>
        </w:rPr>
        <w:object>
          <v:shape id="_x0000_i1050" o:spt="75" type="#_x0000_t75" style="height:18pt;width:39pt;" o:ole="t" filled="f" o:preferrelative="t" stroked="f" coordsize="21600,21600">
            <v:path/>
            <v:fill on="f" focussize="0,0"/>
            <v:stroke on="f"/>
            <v:imagedata r:id="rId58" o:title=""/>
            <o:lock v:ext="edit" aspectratio="f"/>
            <w10:wrap type="none"/>
            <w10:anchorlock/>
          </v:shape>
          <o:OLEObject Type="Embed" ProgID="Equation.DSMT4" ShapeID="_x0000_i1050" DrawAspect="Content" ObjectID="_1468075750" r:id="rId57">
            <o:LockedField>false</o:LockedField>
          </o:OLEObject>
        </w:object>
      </w:r>
      <w:r>
        <w:rPr>
          <w:rFonts w:hint="eastAsia"/>
          <w:lang w:val="en-US" w:eastAsia="zh-CN"/>
        </w:rPr>
        <w:t>为估计系数，</w:t>
      </w:r>
      <w:r>
        <w:rPr>
          <w:rFonts w:hint="eastAsia" w:ascii="宋体" w:hAnsi="宋体" w:eastAsia="宋体" w:cs="宋体"/>
          <w:position w:val="-12"/>
          <w:szCs w:val="24"/>
          <w:vertAlign w:val="baseline"/>
          <w:lang w:val="en-US" w:eastAsia="zh-CN"/>
        </w:rPr>
        <w:object>
          <v:shape id="_x0000_i1051" o:spt="75" type="#_x0000_t75" style="height:18pt;width:13.95pt;" o:ole="t" filled="f" o:preferrelative="t" stroked="f" coordsize="21600,21600">
            <v:path/>
            <v:fill on="f" focussize="0,0"/>
            <v:stroke on="f"/>
            <v:imagedata r:id="rId60" o:title=""/>
            <o:lock v:ext="edit" aspectratio="f"/>
            <w10:wrap type="none"/>
            <w10:anchorlock/>
          </v:shape>
          <o:OLEObject Type="Embed" ProgID="Equation.DSMT4" ShapeID="_x0000_i1051" DrawAspect="Content" ObjectID="_1468075751" r:id="rId59">
            <o:LockedField>false</o:LockedField>
          </o:OLEObject>
        </w:object>
      </w:r>
      <w:r>
        <w:rPr>
          <w:rFonts w:hint="eastAsia"/>
          <w:lang w:val="en-US" w:eastAsia="zh-CN"/>
        </w:rPr>
        <w:t>为随机扰动项。对</w:t>
      </w:r>
      <w:r>
        <w:rPr>
          <w:rFonts w:hint="default"/>
          <w:lang w:val="en-US" w:eastAsia="zh-CN"/>
        </w:rPr>
        <w:t>ECOL</w:t>
      </w:r>
      <w:r>
        <w:rPr>
          <w:rFonts w:hint="eastAsia"/>
          <w:lang w:val="en-US" w:eastAsia="zh-CN"/>
        </w:rPr>
        <w:t>、</w:t>
      </w:r>
      <w:r>
        <w:rPr>
          <w:rFonts w:hint="default"/>
          <w:lang w:val="en-US" w:eastAsia="zh-CN"/>
        </w:rPr>
        <w:t>PGDP</w:t>
      </w:r>
      <w:r>
        <w:rPr>
          <w:rFonts w:hint="eastAsia"/>
          <w:lang w:val="en-US" w:eastAsia="zh-CN"/>
        </w:rPr>
        <w:t>和</w:t>
      </w:r>
      <w:r>
        <w:rPr>
          <w:rFonts w:hint="default"/>
          <w:lang w:val="en-US" w:eastAsia="zh-CN"/>
        </w:rPr>
        <w:t>PD</w:t>
      </w:r>
      <w:r>
        <w:rPr>
          <w:rFonts w:hint="eastAsia"/>
          <w:lang w:val="en-US" w:eastAsia="zh-CN"/>
        </w:rPr>
        <w:t>变量取对数以消除异方差带来的影响。</w:t>
      </w:r>
    </w:p>
    <w:p>
      <w:pPr>
        <w:pStyle w:val="3"/>
        <w:bidi w:val="0"/>
        <w:rPr>
          <w:rFonts w:hint="eastAsia"/>
          <w:lang w:val="en-US" w:eastAsia="zh-CN"/>
        </w:rPr>
      </w:pPr>
      <w:r>
        <w:rPr>
          <w:rFonts w:hint="eastAsia"/>
          <w:lang w:val="en-US" w:eastAsia="zh-CN"/>
        </w:rPr>
        <w:t>（二）数据来源</w:t>
      </w:r>
    </w:p>
    <w:p>
      <w:pPr>
        <w:bidi w:val="0"/>
        <w:rPr>
          <w:rFonts w:hint="default"/>
          <w:lang w:val="en-US" w:eastAsia="zh-CN"/>
        </w:rPr>
      </w:pPr>
      <w:r>
        <w:rPr>
          <w:rFonts w:hint="eastAsia"/>
          <w:lang w:val="en-US" w:eastAsia="zh-CN"/>
        </w:rPr>
        <w:t>选取京津冀</w:t>
      </w:r>
      <w:r>
        <w:rPr>
          <w:rFonts w:hint="eastAsia" w:ascii="宋体" w:hAnsi="宋体" w:eastAsia="宋体" w:cs="宋体"/>
          <w:lang w:val="en-US" w:eastAsia="zh-CN"/>
        </w:rPr>
        <w:t>13个城市2009—2019年十</w:t>
      </w:r>
      <w:r>
        <w:rPr>
          <w:rFonts w:hint="eastAsia"/>
          <w:lang w:val="en-US" w:eastAsia="zh-CN"/>
        </w:rPr>
        <w:t>年间的数据，对其生态效率进行实证分析。</w:t>
      </w:r>
      <w:r>
        <w:rPr>
          <w:rFonts w:hint="default"/>
          <w:lang w:val="en-US" w:eastAsia="zh-CN"/>
        </w:rPr>
        <w:t>原始统计数据主要来自于《中国城市统计年鉴》《中国城市建设统计年鉴》《中国环境统计年鉴》</w:t>
      </w:r>
      <w:r>
        <w:rPr>
          <w:rFonts w:hint="eastAsia"/>
          <w:lang w:val="en-US" w:eastAsia="zh-CN"/>
        </w:rPr>
        <w:t>、</w:t>
      </w:r>
      <w:r>
        <w:rPr>
          <w:rFonts w:hint="default"/>
          <w:lang w:val="en-US" w:eastAsia="zh-CN"/>
        </w:rPr>
        <w:t>《中国区域经济统计年鉴》《北京统计年鉴》《天津统计年鉴》《河北经济年鉴》</w:t>
      </w:r>
      <w:r>
        <w:rPr>
          <w:rFonts w:hint="eastAsia"/>
          <w:lang w:val="en-US" w:eastAsia="zh-CN"/>
        </w:rPr>
        <w:t>、</w:t>
      </w:r>
      <w:r>
        <w:rPr>
          <w:rFonts w:hint="default"/>
          <w:lang w:val="en-US" w:eastAsia="zh-CN"/>
        </w:rPr>
        <w:t>各城市统计年鉴</w:t>
      </w:r>
      <w:r>
        <w:rPr>
          <w:rFonts w:hint="eastAsia"/>
          <w:lang w:val="en-US" w:eastAsia="zh-CN"/>
        </w:rPr>
        <w:t>等</w:t>
      </w:r>
      <w:r>
        <w:rPr>
          <w:rFonts w:hint="default"/>
          <w:lang w:val="en-US" w:eastAsia="zh-CN"/>
        </w:rPr>
        <w:t>，部分指标数据由作者计算整理得到。无法收集的缺失数据，用插值法</w:t>
      </w:r>
      <w:r>
        <w:rPr>
          <w:rFonts w:hint="eastAsia"/>
          <w:lang w:val="en-US" w:eastAsia="zh-CN"/>
        </w:rPr>
        <w:t>（计算缺失数据前后两年的均值）</w:t>
      </w:r>
      <w:r>
        <w:rPr>
          <w:rFonts w:hint="default"/>
          <w:lang w:val="en-US" w:eastAsia="zh-CN"/>
        </w:rPr>
        <w:t>予以补齐，力求数据的完整性与准确性。</w:t>
      </w:r>
    </w:p>
    <w:p>
      <w:pPr>
        <w:pStyle w:val="2"/>
        <w:bidi w:val="0"/>
        <w:rPr>
          <w:rFonts w:hint="default"/>
          <w:lang w:val="en-US" w:eastAsia="zh-CN"/>
        </w:rPr>
      </w:pPr>
      <w:r>
        <w:rPr>
          <w:rFonts w:hint="eastAsia"/>
          <w:lang w:val="en-US" w:eastAsia="zh-CN"/>
        </w:rPr>
        <w:t>四、研究结果及分析</w:t>
      </w:r>
    </w:p>
    <w:p>
      <w:pPr>
        <w:pStyle w:val="3"/>
        <w:bidi w:val="0"/>
        <w:rPr>
          <w:rFonts w:hint="eastAsia" w:ascii="宋体" w:hAnsi="宋体" w:eastAsia="宋体" w:cs="宋体"/>
          <w:color w:val="auto"/>
          <w:vertAlign w:val="baseline"/>
          <w:lang w:val="en-US" w:eastAsia="zh-CN"/>
        </w:rPr>
      </w:pPr>
      <w:r>
        <w:rPr>
          <w:rFonts w:hint="eastAsia"/>
          <w:lang w:val="en-US" w:eastAsia="zh-CN"/>
        </w:rPr>
        <w:t>（一）京津冀城市群生态效率值</w:t>
      </w:r>
    </w:p>
    <w:p>
      <w:pPr>
        <w:bidi w:val="0"/>
        <w:rPr>
          <w:rFonts w:hint="eastAsia"/>
          <w:lang w:val="en-US" w:eastAsia="zh-CN"/>
        </w:rPr>
      </w:pPr>
      <w:r>
        <w:rPr>
          <w:rFonts w:hint="eastAsia"/>
          <w:lang w:val="en-US" w:eastAsia="zh-CN"/>
        </w:rPr>
        <w:t>运行</w:t>
      </w:r>
      <w:r>
        <w:rPr>
          <w:rFonts w:hint="default"/>
          <w:lang w:val="en-US" w:eastAsia="zh-CN"/>
        </w:rPr>
        <w:t>DEA-SOLVER Pro5.0</w:t>
      </w:r>
      <w:r>
        <w:rPr>
          <w:rFonts w:hint="eastAsia"/>
          <w:lang w:val="en-US" w:eastAsia="zh-CN"/>
        </w:rPr>
        <w:t>软件，测算出如表</w:t>
      </w:r>
      <w:r>
        <w:rPr>
          <w:rFonts w:hint="eastAsia" w:ascii="宋体" w:hAnsi="宋体" w:eastAsia="宋体" w:cs="宋体"/>
          <w:lang w:val="en-US" w:eastAsia="zh-CN"/>
        </w:rPr>
        <w:t>3所示的2009—2019年京津冀城市群13</w:t>
      </w:r>
      <w:r>
        <w:rPr>
          <w:rFonts w:hint="default"/>
          <w:lang w:val="en-US" w:eastAsia="zh-CN"/>
        </w:rPr>
        <w:t>个</w:t>
      </w:r>
      <w:r>
        <w:rPr>
          <w:rFonts w:hint="eastAsia"/>
          <w:lang w:val="en-US" w:eastAsia="zh-CN"/>
        </w:rPr>
        <w:t>城市的生态效率评价值。</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vertAlign w:val="baseline"/>
          <w:lang w:val="en-US" w:eastAsia="zh-CN"/>
        </w:rPr>
      </w:pPr>
      <w:r>
        <w:rPr>
          <w:rFonts w:hint="eastAsia" w:ascii="宋体" w:hAnsi="宋体" w:eastAsia="宋体" w:cs="宋体"/>
          <w:color w:val="auto"/>
          <w:sz w:val="21"/>
          <w:szCs w:val="21"/>
          <w:vertAlign w:val="baseline"/>
          <w:lang w:val="en-US" w:eastAsia="zh-CN"/>
        </w:rPr>
        <w:t>表3 2009—2019年京津冀城市群生态效率测算值</w:t>
      </w:r>
    </w:p>
    <w:tbl>
      <w:tblPr>
        <w:tblStyle w:val="10"/>
        <w:tblW w:w="4992" w:type="pct"/>
        <w:jc w:val="center"/>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Layout w:type="fixed"/>
        <w:tblCellMar>
          <w:top w:w="0" w:type="dxa"/>
          <w:left w:w="0" w:type="dxa"/>
          <w:bottom w:w="0" w:type="dxa"/>
          <w:right w:w="0" w:type="dxa"/>
        </w:tblCellMar>
      </w:tblPr>
      <w:tblGrid>
        <w:gridCol w:w="619"/>
        <w:gridCol w:w="619"/>
        <w:gridCol w:w="622"/>
        <w:gridCol w:w="622"/>
        <w:gridCol w:w="625"/>
        <w:gridCol w:w="625"/>
        <w:gridCol w:w="625"/>
        <w:gridCol w:w="564"/>
        <w:gridCol w:w="600"/>
        <w:gridCol w:w="600"/>
        <w:gridCol w:w="588"/>
        <w:gridCol w:w="600"/>
        <w:gridCol w:w="1008"/>
      </w:tblGrid>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124" w:hRule="atLeast"/>
          <w:jc w:val="center"/>
        </w:trPr>
        <w:tc>
          <w:tcPr>
            <w:tcW w:w="372" w:type="pct"/>
            <w:tcBorders>
              <w:top w:val="single" w:color="000000" w:sz="8" w:space="0"/>
              <w:left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年份</w:t>
            </w:r>
          </w:p>
        </w:tc>
        <w:tc>
          <w:tcPr>
            <w:tcW w:w="372"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2009</w:t>
            </w:r>
          </w:p>
        </w:tc>
        <w:tc>
          <w:tcPr>
            <w:tcW w:w="373"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2010</w:t>
            </w:r>
          </w:p>
        </w:tc>
        <w:tc>
          <w:tcPr>
            <w:tcW w:w="373"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2011</w:t>
            </w:r>
          </w:p>
        </w:tc>
        <w:tc>
          <w:tcPr>
            <w:tcW w:w="375"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2012</w:t>
            </w:r>
          </w:p>
        </w:tc>
        <w:tc>
          <w:tcPr>
            <w:tcW w:w="375"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2013</w:t>
            </w:r>
          </w:p>
        </w:tc>
        <w:tc>
          <w:tcPr>
            <w:tcW w:w="375"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2014</w:t>
            </w:r>
          </w:p>
        </w:tc>
        <w:tc>
          <w:tcPr>
            <w:tcW w:w="339"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2015</w:t>
            </w:r>
          </w:p>
        </w:tc>
        <w:tc>
          <w:tcPr>
            <w:tcW w:w="360"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2016</w:t>
            </w:r>
          </w:p>
        </w:tc>
        <w:tc>
          <w:tcPr>
            <w:tcW w:w="360"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2017</w:t>
            </w:r>
          </w:p>
        </w:tc>
        <w:tc>
          <w:tcPr>
            <w:tcW w:w="353"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2018</w:t>
            </w:r>
          </w:p>
        </w:tc>
        <w:tc>
          <w:tcPr>
            <w:tcW w:w="360"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2019</w:t>
            </w:r>
          </w:p>
        </w:tc>
        <w:tc>
          <w:tcPr>
            <w:tcW w:w="605" w:type="pct"/>
            <w:tcBorders>
              <w:top w:val="single" w:color="000000" w:sz="8" w:space="0"/>
              <w:bottom w:val="single" w:color="000000"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按城市排名</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14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0.6600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0.7270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0.8234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0.8485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0.8505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1.0522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1.0708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1.1089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1.1392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1.1392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1.1973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318"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0.7570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0.8020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0.8106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0.8769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0.9043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1.0032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1.0054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1.0073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1.0155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1.0668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1.1123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192"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0.0380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0.0359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0.4481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1.0561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1.0039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1.0887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1.0057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0.2388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0.1123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0.1003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0.1162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208"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承德</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0.1805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0.1487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0.1941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0.1253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0.1354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0.2420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0.1685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0.1626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0.1151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0.0823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0.0598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156"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张家口</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1.0034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0.0734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0.1045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0.0680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0.0981</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0.1253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0.0888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0.0657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0.0600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0.0454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0.0350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12</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184"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秦皇岛</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0.1914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0.0583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0.2645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0.1958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0.1683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0.9976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1.4943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0.0760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0.9969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0.9959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0.9973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8</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1.0011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0.2433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1.0631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1.0435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1.0263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1.0161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0.9418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1.0013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1.0130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0.9010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1.0028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176"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廊坊</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0.9991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0.9989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0.2035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1.0073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0.1723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0.6417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1.0193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1.0443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0.9999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1.0290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6</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14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保定</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0.1845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1.1082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1.0068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1.0312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0.4467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1.0469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1.0108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0.9995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0.9966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0.2066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0.9998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18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沧州</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1.1506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0.9998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1.0945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1.0368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1.0055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1.0442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1.0260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1.0245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1.0195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1.0057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0.7795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204"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衡水</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1.2367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1.0563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1.0387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0.9997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1.0721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1.0154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0.9994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0.9942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0.9918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0.1067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tblCellMar>
            <w:top w:w="0" w:type="dxa"/>
            <w:left w:w="0" w:type="dxa"/>
            <w:bottom w:w="0" w:type="dxa"/>
            <w:right w:w="0" w:type="dxa"/>
          </w:tblCellMar>
        </w:tblPrEx>
        <w:trPr>
          <w:trHeight w:val="18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邢台</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0.3332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0.2489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1.0566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1.0337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0.8349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1.0535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0.8703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0.3163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0.1990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0.1653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0.1370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9</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372" w:type="pct"/>
            <w:tcBorders>
              <w:top w:val="nil"/>
              <w:left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邯郸</w:t>
            </w:r>
          </w:p>
        </w:tc>
        <w:tc>
          <w:tcPr>
            <w:tcW w:w="372"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0.1452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0.2021 </w:t>
            </w:r>
          </w:p>
        </w:tc>
        <w:tc>
          <w:tcPr>
            <w:tcW w:w="37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1.0017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1.0082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0.3503 </w:t>
            </w:r>
          </w:p>
        </w:tc>
        <w:tc>
          <w:tcPr>
            <w:tcW w:w="375"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0.4118 </w:t>
            </w:r>
          </w:p>
        </w:tc>
        <w:tc>
          <w:tcPr>
            <w:tcW w:w="33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0.2853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0.1549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0.1104 </w:t>
            </w:r>
          </w:p>
        </w:tc>
        <w:tc>
          <w:tcPr>
            <w:tcW w:w="353"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0.0829 </w:t>
            </w:r>
          </w:p>
        </w:tc>
        <w:tc>
          <w:tcPr>
            <w:tcW w:w="36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0.0752 </w:t>
            </w:r>
          </w:p>
        </w:tc>
        <w:tc>
          <w:tcPr>
            <w:tcW w:w="605" w:type="pct"/>
            <w:tcBorders>
              <w:top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w:t>
            </w:r>
          </w:p>
        </w:tc>
      </w:tr>
      <w:tr>
        <w:tblPrEx>
          <w:tblBorders>
            <w:top w:val="none" w:color="auto" w:sz="4" w:space="0"/>
            <w:left w:val="none" w:color="auto" w:sz="4" w:space="0"/>
            <w:bottom w:val="none" w:color="auto" w:sz="4" w:space="0"/>
            <w:right w:val="none" w:color="auto" w:sz="4" w:space="0"/>
            <w:insideH w:val="none" w:color="auto" w:sz="4"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372" w:type="pct"/>
            <w:tcBorders>
              <w:top w:val="nil"/>
              <w:left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按年份排名</w:t>
            </w:r>
          </w:p>
        </w:tc>
        <w:tc>
          <w:tcPr>
            <w:tcW w:w="372"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8</w:t>
            </w:r>
          </w:p>
        </w:tc>
        <w:tc>
          <w:tcPr>
            <w:tcW w:w="373"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w:t>
            </w:r>
          </w:p>
        </w:tc>
        <w:tc>
          <w:tcPr>
            <w:tcW w:w="373"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375"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375"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w:t>
            </w:r>
          </w:p>
        </w:tc>
        <w:tc>
          <w:tcPr>
            <w:tcW w:w="375"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w:t>
            </w:r>
          </w:p>
        </w:tc>
        <w:tc>
          <w:tcPr>
            <w:tcW w:w="339"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p>
        </w:tc>
        <w:tc>
          <w:tcPr>
            <w:tcW w:w="360"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6</w:t>
            </w:r>
          </w:p>
        </w:tc>
        <w:tc>
          <w:tcPr>
            <w:tcW w:w="360"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353"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9</w:t>
            </w:r>
          </w:p>
        </w:tc>
        <w:tc>
          <w:tcPr>
            <w:tcW w:w="360"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w:t>
            </w:r>
          </w:p>
        </w:tc>
        <w:tc>
          <w:tcPr>
            <w:tcW w:w="605" w:type="pct"/>
            <w:tcBorders>
              <w:top w:val="nil"/>
              <w:bottom w:val="single" w:color="000000"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bl>
    <w:p>
      <w:pPr>
        <w:bidi w:val="0"/>
        <w:rPr>
          <w:rFonts w:hint="eastAsia"/>
          <w:lang w:val="en-US" w:eastAsia="zh-CN"/>
        </w:rPr>
      </w:pPr>
      <w:r>
        <w:rPr>
          <w:rFonts w:hint="eastAsia"/>
          <w:lang w:val="en-US" w:eastAsia="zh-CN"/>
        </w:rPr>
        <w:t>注：软件测算后经过整理而成。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lang w:val="en-US" w:eastAsia="zh-CN"/>
        </w:rPr>
        <w:t xml:space="preserve">效率测算 </w:t>
      </w:r>
      <w:r>
        <w:rPr>
          <w:rFonts w:hint="eastAsia" w:ascii="宋体" w:hAnsi="宋体" w:eastAsia="宋体" w:cs="宋体"/>
          <w:lang w:val="en-US" w:eastAsia="zh-CN"/>
        </w:rPr>
        <w:t>2009—2019年京津冀城市群生态效率均值如下图所示。结果表明，京津冀城市群生态效率总体一般，在0.5—0.85之间波动并且起伏较大、发展不稳定。以2014年生态效率为分界线，大致可分为两个阶段：一是2009—2014年生态效率剧烈波动阶段。该阶段的趋势线整体上呈现降—升—降—升的左偏</w:t>
      </w:r>
      <w:r>
        <w:rPr>
          <w:rFonts w:hint="eastAsia"/>
          <w:lang w:val="en-US" w:eastAsia="zh-CN"/>
        </w:rPr>
        <w:t>“</w:t>
      </w:r>
      <w:r>
        <w:rPr>
          <w:rFonts w:hint="default"/>
          <w:lang w:val="en-US" w:eastAsia="zh-CN"/>
        </w:rPr>
        <w:t>W型</w:t>
      </w:r>
      <w:r>
        <w:rPr>
          <w:rFonts w:hint="eastAsia"/>
          <w:lang w:val="en-US" w:eastAsia="zh-CN"/>
        </w:rPr>
        <w:t>”结构，</w:t>
      </w:r>
      <w:r>
        <w:rPr>
          <w:rFonts w:hint="eastAsia" w:ascii="宋体" w:hAnsi="宋体" w:eastAsia="宋体" w:cs="宋体"/>
          <w:lang w:val="en-US" w:eastAsia="zh-CN"/>
        </w:rPr>
        <w:t>但自2013年起，到2015年逐步实现稳步上升；二是2014—2019年生态效率曲折下降阶段。2015年该城市群生态效率出现最大值，而后开始直线下降，尽管在2016—2017年出现了小的拐点，但整体上仍然处于走低趋势。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4053205" cy="2583180"/>
            <wp:effectExtent l="4445" t="4445" r="11430" b="1841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图1 2009—2019年京津冀城市群生态效率均值分布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1"/>
          <w:szCs w:val="21"/>
          <w:lang w:val="en-US" w:eastAsia="zh-CN"/>
        </w:rPr>
      </w:pPr>
      <w:r>
        <w:rPr>
          <w:rFonts w:hint="eastAsia" w:ascii="宋体" w:hAnsi="宋体" w:eastAsia="宋体" w:cs="宋体"/>
          <w:sz w:val="21"/>
          <w:szCs w:val="21"/>
          <w:lang w:val="en-US" w:eastAsia="zh-CN"/>
        </w:rPr>
        <w:t>（注：根据表3生态效率测算结果整理计算而成）</w:t>
      </w:r>
    </w:p>
    <w:p>
      <w:pPr>
        <w:bidi w:val="0"/>
        <w:rPr>
          <w:rFonts w:hint="eastAsia" w:ascii="宋体" w:hAnsi="宋体" w:cs="宋体"/>
          <w:szCs w:val="24"/>
          <w:lang w:val="en-US" w:eastAsia="zh-CN"/>
        </w:rPr>
      </w:pPr>
      <w:r>
        <w:rPr>
          <w:rFonts w:hint="eastAsia" w:ascii="宋体" w:hAnsi="宋体" w:eastAsia="宋体" w:cs="宋体"/>
          <w:lang w:val="en-US" w:eastAsia="zh-CN"/>
        </w:rPr>
        <w:t>2.城市差异分析 通过对京津冀13个城市生态效率均值进行排序，得出各城市生态效率的等级情况，如图2所示。借鉴崔叶辰、韩亚丽等</w:t>
      </w:r>
      <w:r>
        <w:rPr>
          <w:rFonts w:hint="eastAsia" w:ascii="宋体" w:hAnsi="宋体" w:eastAsia="宋体" w:cs="宋体"/>
          <w:vertAlign w:val="superscript"/>
          <w:lang w:val="en-US" w:eastAsia="zh-CN"/>
        </w:rPr>
        <w:t>[16]</w:t>
      </w:r>
      <w:r>
        <w:rPr>
          <w:rFonts w:hint="eastAsia" w:ascii="宋体" w:hAnsi="宋体" w:eastAsia="宋体" w:cs="宋体"/>
          <w:lang w:val="en-US" w:eastAsia="zh-CN"/>
        </w:rPr>
        <w:t>的研究，将生态效率分组设</w:t>
      </w:r>
      <w:r>
        <w:rPr>
          <w:rFonts w:hint="eastAsia" w:ascii="宋体" w:hAnsi="宋体" w:eastAsia="宋体" w:cs="宋体"/>
          <w:color w:val="000000" w:themeColor="text1"/>
          <w:lang w:val="en-US" w:eastAsia="zh-CN"/>
          <w14:textFill>
            <w14:solidFill>
              <w14:schemeClr w14:val="tx1"/>
            </w14:solidFill>
          </w14:textFill>
        </w:rPr>
        <w:t>为：处于区间[1,+∞)为高效率组，处于区间[0.8,1)为中效率组，处于区间(0,0.8)为低效率组，据此</w:t>
      </w:r>
      <w:r>
        <w:rPr>
          <w:rFonts w:hint="eastAsia" w:ascii="宋体" w:hAnsi="宋体" w:cs="宋体"/>
          <w:color w:val="000000" w:themeColor="text1"/>
          <w:lang w:val="en-US" w:eastAsia="zh-CN"/>
          <w14:textFill>
            <w14:solidFill>
              <w14:schemeClr w14:val="tx1"/>
            </w14:solidFill>
          </w14:textFill>
        </w:rPr>
        <w:t>，京津冀生态高效率城市为沧州，中效率城市为北京、衡水、天津、唐山、廊坊、保定，低效率城市为秦皇岛、邢台、石家庄、邯郸、张家口、承德</w:t>
      </w:r>
      <w:r>
        <w:rPr>
          <w:rFonts w:hint="eastAsia" w:ascii="宋体" w:hAnsi="宋体" w:eastAsia="宋体" w:cs="宋体"/>
          <w:color w:val="000000" w:themeColor="text1"/>
          <w:lang w:val="en-US" w:eastAsia="zh-CN"/>
          <w14:textFill>
            <w14:solidFill>
              <w14:schemeClr w14:val="tx1"/>
            </w14:solidFill>
          </w14:textFill>
        </w:rPr>
        <w:t>。由图表可知，就城市个体而言，绝大多数生态效率中等偏低，仅有一市为高效率，且城市差距悬殊，第一位约为最后一位的7</w:t>
      </w:r>
      <w:r>
        <w:rPr>
          <w:rFonts w:hint="eastAsia" w:ascii="宋体" w:hAnsi="宋体" w:eastAsia="宋体" w:cs="宋体"/>
          <w:lang w:val="en-US" w:eastAsia="zh-CN"/>
        </w:rPr>
        <w:t>倍；就区域而言，京津冀城市群生态效率呈现出“中间高两端低”的特征，即中部发达地区（环京津一带）高于南北部偏远地区。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pPr>
      <w:r>
        <w:drawing>
          <wp:inline distT="0" distB="0" distL="114300" distR="114300">
            <wp:extent cx="4199255" cy="2514600"/>
            <wp:effectExtent l="4445" t="4445" r="17780" b="1079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图2 京津冀各城市生态效率均值排名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（注：根据表3生态效率测算结果整理计算而成）</w:t>
      </w:r>
    </w:p>
    <w:p>
      <w:pPr>
        <w:pStyle w:val="3"/>
        <w:bidi w:val="0"/>
        <w:rPr>
          <w:rFonts w:hint="eastAsia"/>
          <w:lang w:val="en-US" w:eastAsia="zh-CN"/>
        </w:rPr>
      </w:pPr>
      <w:r>
        <w:rPr>
          <w:rFonts w:hint="eastAsia"/>
          <w:lang w:val="en-US" w:eastAsia="zh-CN"/>
        </w:rPr>
        <w:t>（二）生态无效率分析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lang w:val="en-US" w:eastAsia="zh-CN"/>
        </w:rPr>
        <w:t>1.生态无效率分解 结合前文的生态无效率分</w:t>
      </w:r>
      <w:r>
        <w:rPr>
          <w:rFonts w:hint="eastAsia" w:ascii="宋体" w:hAnsi="宋体" w:eastAsia="宋体" w:cs="宋体"/>
          <w:color w:val="000000" w:themeColor="text1"/>
          <w:lang w:val="en-US" w:eastAsia="zh-CN"/>
          <w14:textFill>
            <w14:solidFill>
              <w14:schemeClr w14:val="tx1"/>
            </w14:solidFill>
          </w14:textFill>
        </w:rPr>
        <w:t>解公式，本文测算出2009—2019年京津冀各城市生态无效率值和整体均值，并对其相关来源进行分解。由表</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可知，与期望产出相关的无效率值均为零</w:t>
      </w:r>
      <w:r>
        <w:rPr>
          <w:rFonts w:hint="eastAsia" w:ascii="宋体" w:hAnsi="宋体" w:eastAsia="宋体" w:cs="宋体"/>
          <w:color w:val="000000" w:themeColor="text1"/>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vertAlign w:val="superscript"/>
          <w:lang w:val="en-US" w:eastAsia="zh-CN"/>
          <w14:textFill>
            <w14:solidFill>
              <w14:schemeClr w14:val="tx1"/>
            </w14:solidFill>
          </w14:textFill>
        </w:rPr>
        <w:instrText xml:space="preserve"> REF _Ref8412 \r \h </w:instrText>
      </w:r>
      <w:r>
        <w:rPr>
          <w:rFonts w:hint="eastAsia" w:ascii="宋体" w:hAnsi="宋体" w:eastAsia="宋体" w:cs="宋体"/>
          <w:color w:val="000000" w:themeColor="text1"/>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vertAlign w:val="superscript"/>
          <w:lang w:val="en-US" w:eastAsia="zh-CN"/>
          <w14:textFill>
            <w14:solidFill>
              <w14:schemeClr w14:val="tx1"/>
            </w14:solidFill>
          </w14:textFill>
        </w:rPr>
        <w:t>⑥</w:t>
      </w:r>
      <w:r>
        <w:rPr>
          <w:rFonts w:hint="eastAsia" w:ascii="宋体" w:hAnsi="宋体" w:eastAsia="宋体" w:cs="宋体"/>
          <w:color w:val="000000" w:themeColor="text1"/>
          <w:vertAlign w:val="superscript"/>
          <w:lang w:val="en-US" w:eastAsia="zh-CN"/>
          <w14:textFill>
            <w14:solidFill>
              <w14:schemeClr w14:val="tx1"/>
            </w14:solidFill>
          </w14:textFill>
        </w:rPr>
        <w:fldChar w:fldCharType="end"/>
      </w:r>
      <w:r>
        <w:rPr>
          <w:rFonts w:hint="eastAsia" w:ascii="宋体" w:hAnsi="宋体" w:eastAsia="宋体" w:cs="宋体"/>
          <w:color w:val="000000" w:themeColor="text1"/>
          <w:lang w:val="en-US" w:eastAsia="zh-CN"/>
          <w14:textFill>
            <w14:solidFill>
              <w14:schemeClr w14:val="tx1"/>
            </w14:solidFill>
          </w14:textFill>
        </w:rPr>
        <w:t>，这表明在京津冀地区经济发展过程中，期望产出不足不是导致生态无效率的主要症结。整体上，投入要素利用效率低下会对该区域生态文明建设造成不利影响，均值为0.042。其中，土地利用不当造成的无效率均值最低，为0.002，而生态无效率的最大“祸源”来自于能源投入不合理，均值为0.025，资本和劳动无效率均值相近，分别为0.006和0.007。与投入和期望产出相比，由非期望产出带来的生态无效率相对较高(0.120)，产生的消极影响最大，占生态无效率总量的74.07%；进一步分解来看，由排放废气带来的无效率要高于废水无效率，均值分别为0.078和0.042。值得一提的是，能源效率低下和污染排放导致的生态无效率均值合计为0.145，约占生态无效率总量的90%，这说明节能减排对于京津冀城市群生态保护和高质量发展具有不同凡响的意义，需密切关注和高度重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 xml:space="preserve"> 2009—2019年京津冀城市群生态无效率值及来源分解</w:t>
      </w:r>
    </w:p>
    <w:tbl>
      <w:tblPr>
        <w:tblStyle w:val="10"/>
        <w:tblW w:w="4998" w:type="pct"/>
        <w:jc w:val="center"/>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Layout w:type="fixed"/>
        <w:tblCellMar>
          <w:top w:w="0" w:type="dxa"/>
          <w:left w:w="0" w:type="dxa"/>
          <w:bottom w:w="0" w:type="dxa"/>
          <w:right w:w="0" w:type="dxa"/>
        </w:tblCellMar>
      </w:tblPr>
      <w:tblGrid>
        <w:gridCol w:w="906"/>
        <w:gridCol w:w="645"/>
        <w:gridCol w:w="687"/>
        <w:gridCol w:w="624"/>
        <w:gridCol w:w="672"/>
        <w:gridCol w:w="696"/>
        <w:gridCol w:w="684"/>
        <w:gridCol w:w="982"/>
        <w:gridCol w:w="793"/>
        <w:gridCol w:w="768"/>
        <w:gridCol w:w="870"/>
      </w:tblGrid>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44" w:type="pct"/>
            <w:vMerge w:val="restar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城市</w:t>
            </w:r>
          </w:p>
        </w:tc>
        <w:tc>
          <w:tcPr>
            <w:tcW w:w="387" w:type="pct"/>
            <w:vMerge w:val="restar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总量</w:t>
            </w:r>
          </w:p>
        </w:tc>
        <w:tc>
          <w:tcPr>
            <w:tcW w:w="2019" w:type="pct"/>
            <w:gridSpan w:val="5"/>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投入</w:t>
            </w:r>
          </w:p>
        </w:tc>
        <w:tc>
          <w:tcPr>
            <w:tcW w:w="589" w:type="pct"/>
            <w:vMerge w:val="restar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期望产出</w:t>
            </w:r>
          </w:p>
        </w:tc>
        <w:tc>
          <w:tcPr>
            <w:tcW w:w="1459" w:type="pct"/>
            <w:gridSpan w:val="3"/>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非期望产出</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99" w:hRule="atLeast"/>
          <w:jc w:val="center"/>
        </w:trPr>
        <w:tc>
          <w:tcPr>
            <w:tcW w:w="544" w:type="pct"/>
            <w:vMerge w:val="continue"/>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7" w:type="pct"/>
            <w:vMerge w:val="continue"/>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12"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总体</w:t>
            </w:r>
          </w:p>
        </w:tc>
        <w:tc>
          <w:tcPr>
            <w:tcW w:w="374"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资本</w:t>
            </w:r>
          </w:p>
        </w:tc>
        <w:tc>
          <w:tcPr>
            <w:tcW w:w="403"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土地</w:t>
            </w:r>
          </w:p>
        </w:tc>
        <w:tc>
          <w:tcPr>
            <w:tcW w:w="417"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劳动</w:t>
            </w:r>
          </w:p>
        </w:tc>
        <w:tc>
          <w:tcPr>
            <w:tcW w:w="410"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能源</w:t>
            </w:r>
          </w:p>
        </w:tc>
        <w:tc>
          <w:tcPr>
            <w:tcW w:w="589" w:type="pct"/>
            <w:vMerge w:val="continue"/>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76"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总体</w:t>
            </w:r>
          </w:p>
        </w:tc>
        <w:tc>
          <w:tcPr>
            <w:tcW w:w="461"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废气</w:t>
            </w:r>
          </w:p>
        </w:tc>
        <w:tc>
          <w:tcPr>
            <w:tcW w:w="522"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废水</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90"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北京</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0.172</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0.032</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0.011</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0.015</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0.140</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0.140</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天津</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0.093</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0.024</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0.003</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0.008</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0.009</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0.069</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0.069</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石家庄</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0.090</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0.043</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0.014</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0.021</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0.047</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0.038</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承德</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0.531</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0.076</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0.014</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0.014</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0.048</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0.455</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0.133</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0.322</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张家口</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0.280</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0.052</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0.018</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0.024</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0.010</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0.228</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0.143</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0.085</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秦皇岛</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0.243</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0.032</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0.006</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0.022</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0.211</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0.119</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唐山</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0.046</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0.009</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0.006</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0.037</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0.035</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廊坊</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0.023</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0.022</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0.015</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0.007</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保定</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0.085</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0.003</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0.000</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0.082</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0.075</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0.007</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沧州</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0.019</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0.012</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0.008</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0.007</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0.004</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0.003</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衡水</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0.079</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0.010</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0.005</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0.069</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0.068</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0.001</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邢台</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0.253</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0.138</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0.007</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0.008</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0.012</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0.111</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0.115</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0.094</w:t>
            </w:r>
          </w:p>
        </w:tc>
        <w:tc>
          <w:tcPr>
            <w:tcW w:w="52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0.021</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54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邯郸</w:t>
            </w:r>
          </w:p>
        </w:tc>
        <w:tc>
          <w:tcPr>
            <w:tcW w:w="38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0.259</w:t>
            </w:r>
          </w:p>
        </w:tc>
        <w:tc>
          <w:tcPr>
            <w:tcW w:w="412"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0.108</w:t>
            </w:r>
          </w:p>
        </w:tc>
        <w:tc>
          <w:tcPr>
            <w:tcW w:w="374"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0.021</w:t>
            </w:r>
          </w:p>
        </w:tc>
        <w:tc>
          <w:tcPr>
            <w:tcW w:w="403"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17"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0.013</w:t>
            </w:r>
          </w:p>
        </w:tc>
        <w:tc>
          <w:tcPr>
            <w:tcW w:w="410"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0.072</w:t>
            </w:r>
          </w:p>
        </w:tc>
        <w:tc>
          <w:tcPr>
            <w:tcW w:w="589"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0.151</w:t>
            </w:r>
          </w:p>
        </w:tc>
        <w:tc>
          <w:tcPr>
            <w:tcW w:w="461" w:type="pct"/>
            <w:tcBorders>
              <w:top w:val="nil"/>
              <w:bottom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0.079</w:t>
            </w:r>
          </w:p>
        </w:tc>
        <w:tc>
          <w:tcPr>
            <w:tcW w:w="522" w:type="pct"/>
            <w:tcBorders>
              <w:top w:val="nil"/>
              <w:bottom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0.072</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544"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城市群整体均值</w:t>
            </w:r>
          </w:p>
        </w:tc>
        <w:tc>
          <w:tcPr>
            <w:tcW w:w="387"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0.162</w:t>
            </w:r>
          </w:p>
        </w:tc>
        <w:tc>
          <w:tcPr>
            <w:tcW w:w="412"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0.042</w:t>
            </w:r>
          </w:p>
        </w:tc>
        <w:tc>
          <w:tcPr>
            <w:tcW w:w="374"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0.006</w:t>
            </w:r>
          </w:p>
        </w:tc>
        <w:tc>
          <w:tcPr>
            <w:tcW w:w="403"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0.002</w:t>
            </w:r>
          </w:p>
        </w:tc>
        <w:tc>
          <w:tcPr>
            <w:tcW w:w="417"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0.007</w:t>
            </w:r>
          </w:p>
        </w:tc>
        <w:tc>
          <w:tcPr>
            <w:tcW w:w="410"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0.025</w:t>
            </w:r>
          </w:p>
        </w:tc>
        <w:tc>
          <w:tcPr>
            <w:tcW w:w="589"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476"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0.120</w:t>
            </w:r>
          </w:p>
        </w:tc>
        <w:tc>
          <w:tcPr>
            <w:tcW w:w="461"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0.078</w:t>
            </w:r>
          </w:p>
        </w:tc>
        <w:tc>
          <w:tcPr>
            <w:tcW w:w="522" w:type="pct"/>
            <w:tcBorders>
              <w:top w:val="nil"/>
              <w:bottom w:val="single" w:color="000000" w:sz="8"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0.042</w:t>
            </w:r>
          </w:p>
        </w:tc>
      </w:tr>
    </w:tbl>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注：由2009</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2019年京津冀生态效率松弛值与投入产出的真实数据计算整理而成</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就各城市而言，其生态无效率值的结果与</w:t>
      </w:r>
      <w:r>
        <w:rPr>
          <w:rFonts w:hint="eastAsia" w:ascii="宋体" w:hAnsi="宋体" w:cs="宋体"/>
          <w:color w:val="000000" w:themeColor="text1"/>
          <w:lang w:val="en-US" w:eastAsia="zh-CN"/>
          <w14:textFill>
            <w14:solidFill>
              <w14:schemeClr w14:val="tx1"/>
            </w14:solidFill>
          </w14:textFill>
        </w:rPr>
        <w:t>前文</w:t>
      </w:r>
      <w:r>
        <w:rPr>
          <w:rFonts w:hint="eastAsia" w:ascii="宋体" w:hAnsi="宋体" w:eastAsia="宋体" w:cs="宋体"/>
          <w:color w:val="000000" w:themeColor="text1"/>
          <w:lang w:val="en-US" w:eastAsia="zh-CN"/>
          <w14:textFill>
            <w14:solidFill>
              <w14:schemeClr w14:val="tx1"/>
            </w14:solidFill>
          </w14:textFill>
        </w:rPr>
        <w:t>城市生态效率的分类结果基本一致，生态效率高的城市无效率值低，如沧州(0.019)。作为京津冀一小时经济圈的重要成员，沧州统筹抓好经济发展和生态环保工作，尤其在节能减排方面，中节能和沧州炼化等部分市区内的重点生产单位科学谋划技术改造，提高污染治理水平，提升污染物减排空间，因此由非期望产出带来的生态无效率值为13市中最小(0.007)；反之，生态效率较低的城市无效率值较高，如排名在13市后两位的张家口(0.280)和承德(0.531)，它们由非期望产出带来的生态无效率值相对较高。此外，远离京津的秦皇岛、邢台、邯郸等市非期望产出导致的环境污染对生态效率的消极影响要明显大于京津附近的唐山、廊坊、保定、石家庄等市。综上所述，非期望产出冗余是各城市生态无效率的主要来源，并且京津冀南北部地区生态无效率带来的负面效应要大于以京津为核心的中部地区。</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2.内在增长潜力驱动 由上述分析可知，资本、土地、劳动、能源、废气和废水均存在一定程度的无效率现象，这意味着可以从投入和非期望产出视角挖掘京津冀城市群生态效率的内在增长潜力。就整体区域而言，由能源、废气和废水导致的无效率相对较高，因此生态效率的整体提升潜力主要在于提高能源利用效率和降低“两废”排放率。具体到各城市而言，与废气、废水、能源相关的无效率大多排在前三，这表明节能减排是各城市生态效率提升的主要内在潜力；此外，各城市与土地相关的无效率最低，与资本相关的无效率也基本维持在较低水平，与劳动相关的无效率稍高一些，这说明可以通过提高劳动的利用效率来挖掘城市群生态效率增长潜力。</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（三）外在影响因素实证分析</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1.变量选取 外部影响因素多与经济发展、科技进步等因素相关。借鉴李琼</w:t>
      </w:r>
      <w:r>
        <w:rPr>
          <w:rFonts w:hint="eastAsia" w:ascii="宋体" w:hAnsi="宋体" w:eastAsia="宋体" w:cs="宋体"/>
          <w:color w:val="000000" w:themeColor="text1"/>
          <w:vertAlign w:val="superscript"/>
          <w:lang w:val="en-US" w:eastAsia="zh-CN"/>
          <w14:textFill>
            <w14:solidFill>
              <w14:schemeClr w14:val="tx1"/>
            </w14:solidFill>
          </w14:textFill>
        </w:rPr>
        <w:t>[34]</w:t>
      </w:r>
      <w:r>
        <w:rPr>
          <w:rFonts w:hint="eastAsia" w:ascii="宋体" w:hAnsi="宋体" w:eastAsia="宋体" w:cs="宋体"/>
          <w:color w:val="000000" w:themeColor="text1"/>
          <w:lang w:val="en-US" w:eastAsia="zh-CN"/>
          <w14:textFill>
            <w14:solidFill>
              <w14:schemeClr w14:val="tx1"/>
            </w14:solidFill>
          </w14:textFill>
        </w:rPr>
        <w:t>、孙伟</w:t>
      </w:r>
      <w:r>
        <w:rPr>
          <w:rFonts w:hint="eastAsia" w:ascii="宋体" w:hAnsi="宋体" w:eastAsia="宋体" w:cs="宋体"/>
          <w:color w:val="000000" w:themeColor="text1"/>
          <w:vertAlign w:val="superscript"/>
          <w:lang w:val="en-US" w:eastAsia="zh-CN"/>
          <w14:textFill>
            <w14:solidFill>
              <w14:schemeClr w14:val="tx1"/>
            </w14:solidFill>
          </w14:textFill>
        </w:rPr>
        <w:t>[35]</w:t>
      </w:r>
      <w:r>
        <w:rPr>
          <w:rFonts w:hint="eastAsia" w:ascii="宋体" w:hAnsi="宋体" w:eastAsia="宋体" w:cs="宋体"/>
          <w:color w:val="000000" w:themeColor="text1"/>
          <w:lang w:val="en-US" w:eastAsia="zh-CN"/>
          <w14:textFill>
            <w14:solidFill>
              <w14:schemeClr w14:val="tx1"/>
            </w14:solidFill>
          </w14:textFill>
        </w:rPr>
        <w:t>、罗能生</w:t>
      </w:r>
      <w:r>
        <w:rPr>
          <w:rFonts w:hint="eastAsia" w:ascii="宋体" w:hAnsi="宋体" w:eastAsia="宋体" w:cs="宋体"/>
          <w:color w:val="000000" w:themeColor="text1"/>
          <w:vertAlign w:val="superscript"/>
          <w:lang w:val="en-US" w:eastAsia="zh-CN"/>
          <w14:textFill>
            <w14:solidFill>
              <w14:schemeClr w14:val="tx1"/>
            </w14:solidFill>
          </w14:textFill>
        </w:rPr>
        <w:t>[36]</w:t>
      </w:r>
      <w:r>
        <w:rPr>
          <w:rFonts w:hint="eastAsia" w:ascii="宋体" w:hAnsi="宋体" w:eastAsia="宋体" w:cs="宋体"/>
          <w:color w:val="000000" w:themeColor="text1"/>
          <w:lang w:val="en-US" w:eastAsia="zh-CN"/>
          <w14:textFill>
            <w14:solidFill>
              <w14:schemeClr w14:val="tx1"/>
            </w14:solidFill>
          </w14:textFill>
        </w:rPr>
        <w:t>等人的成果，本文选取经济发展、产业结构、人口发展、城市化率、对外开放程度、科技进步6个层面的指标，如表</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所示。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 xml:space="preserve"> 京津冀各市生态效率外部影响因素</w:t>
      </w:r>
    </w:p>
    <w:tbl>
      <w:tblPr>
        <w:tblStyle w:val="10"/>
        <w:tblW w:w="4998" w:type="pct"/>
        <w:jc w:val="center"/>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Layout w:type="autofit"/>
        <w:tblCellMar>
          <w:top w:w="0" w:type="dxa"/>
          <w:left w:w="0" w:type="dxa"/>
          <w:bottom w:w="0" w:type="dxa"/>
          <w:right w:w="0" w:type="dxa"/>
        </w:tblCellMar>
      </w:tblPr>
      <w:tblGrid>
        <w:gridCol w:w="2813"/>
        <w:gridCol w:w="5514"/>
      </w:tblGrid>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689"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解释变量</w:t>
            </w:r>
          </w:p>
        </w:tc>
        <w:tc>
          <w:tcPr>
            <w:tcW w:w="3310"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具体指标</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68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经济发展</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(PGDP)</w:t>
            </w:r>
          </w:p>
        </w:tc>
        <w:tc>
          <w:tcPr>
            <w:tcW w:w="331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人均</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GDP</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（元/人）</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108" w:hRule="atLeast"/>
          <w:jc w:val="center"/>
        </w:trPr>
        <w:tc>
          <w:tcPr>
            <w:tcW w:w="168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产业结构</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(IND)</w:t>
            </w:r>
          </w:p>
        </w:tc>
        <w:tc>
          <w:tcPr>
            <w:tcW w:w="331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第二产业增加值占地区</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GDP</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的比重%</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68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人口发展</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(PD)</w:t>
            </w:r>
          </w:p>
        </w:tc>
        <w:tc>
          <w:tcPr>
            <w:tcW w:w="331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人口密度（人/</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km</w:t>
            </w:r>
            <w:r>
              <w:rPr>
                <w:rFonts w:hint="default" w:ascii="Times New Roman" w:hAnsi="Times New Roman" w:eastAsia="宋体"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168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城市化率</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(URB)</w:t>
            </w:r>
          </w:p>
        </w:tc>
        <w:tc>
          <w:tcPr>
            <w:tcW w:w="331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城镇人口占总人口比重%</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689"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对外开放程度</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(FDI)</w:t>
            </w:r>
          </w:p>
        </w:tc>
        <w:tc>
          <w:tcPr>
            <w:tcW w:w="3310"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当年实际使用的外资金额占城镇从业总人数的比重%</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548" w:hRule="atLeast"/>
          <w:jc w:val="center"/>
        </w:trPr>
        <w:tc>
          <w:tcPr>
            <w:tcW w:w="1689" w:type="pct"/>
            <w:tcBorders>
              <w:top w:val="nil"/>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科技进步</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(SCI)</w:t>
            </w:r>
          </w:p>
        </w:tc>
        <w:tc>
          <w:tcPr>
            <w:tcW w:w="3310" w:type="pct"/>
            <w:tcBorders>
              <w:top w:val="nil"/>
              <w:bottom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科学研究、技术服务和地质勘查业从业人数占城镇从业总人数的比重%</w:t>
            </w:r>
          </w:p>
        </w:tc>
      </w:tr>
    </w:tbl>
    <w:p>
      <w:pPr>
        <w:bidi w:val="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2.实证检验</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通过SYS-GMM模型进行估计时，需要检验原模型的序列相关性以确定扰动项无自相关且差分滞后的变量与个体效应无关</w:t>
      </w:r>
      <w:r>
        <w:rPr>
          <w:rFonts w:hint="eastAsia"/>
          <w:color w:val="000000" w:themeColor="text1"/>
          <w:lang w:val="en-US" w:eastAsia="zh-CN"/>
          <w14:textFill>
            <w14:solidFill>
              <w14:schemeClr w14:val="tx1"/>
            </w14:solidFill>
          </w14:textFill>
        </w:rPr>
        <w:t>，也需要</w:t>
      </w:r>
      <w:r>
        <w:rPr>
          <w:rFonts w:hint="default"/>
          <w:color w:val="000000" w:themeColor="text1"/>
          <w:lang w:val="en-US" w:eastAsia="zh-CN"/>
          <w14:textFill>
            <w14:solidFill>
              <w14:schemeClr w14:val="tx1"/>
            </w14:solidFill>
          </w14:textFill>
        </w:rPr>
        <w:t>进行工具变量的过度识别检验以确定工具变量是否有效</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采用AR检验</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Sargan检验</w:t>
      </w:r>
      <w:r>
        <w:rPr>
          <w:rFonts w:hint="eastAsia"/>
          <w:color w:val="000000" w:themeColor="text1"/>
          <w:lang w:val="en-US" w:eastAsia="zh-CN"/>
          <w14:textFill>
            <w14:solidFill>
              <w14:schemeClr w14:val="tx1"/>
            </w14:solidFill>
          </w14:textFill>
        </w:rPr>
        <w:t>和</w:t>
      </w:r>
      <w:r>
        <w:rPr>
          <w:rFonts w:hint="default"/>
          <w:color w:val="000000" w:themeColor="text1"/>
          <w:lang w:val="en-US" w:eastAsia="zh-CN"/>
          <w14:textFill>
            <w14:solidFill>
              <w14:schemeClr w14:val="tx1"/>
            </w14:solidFill>
          </w14:textFill>
        </w:rPr>
        <w:t>Hansen</w:t>
      </w:r>
      <w:r>
        <w:rPr>
          <w:rFonts w:hint="eastAsia"/>
          <w:color w:val="000000" w:themeColor="text1"/>
          <w:lang w:val="en-US" w:eastAsia="zh-CN"/>
          <w14:textFill>
            <w14:solidFill>
              <w14:schemeClr w14:val="tx1"/>
            </w14:solidFill>
          </w14:textFill>
        </w:rPr>
        <w:t>检验</w:t>
      </w:r>
      <w:r>
        <w:rPr>
          <w:rFonts w:hint="default"/>
          <w:color w:val="000000" w:themeColor="text1"/>
          <w:lang w:val="en-US" w:eastAsia="zh-CN"/>
          <w14:textFill>
            <w14:solidFill>
              <w14:schemeClr w14:val="tx1"/>
            </w14:solidFill>
          </w14:textFill>
        </w:rPr>
        <w:t>，结果见</w:t>
      </w:r>
      <w:r>
        <w:rPr>
          <w:rFonts w:hint="eastAsia" w:ascii="宋体" w:hAnsi="宋体" w:eastAsia="宋体" w:cs="宋体"/>
          <w:color w:val="000000" w:themeColor="text1"/>
          <w:lang w:val="en-US" w:eastAsia="zh-CN"/>
          <w14:textFill>
            <w14:solidFill>
              <w14:schemeClr w14:val="tx1"/>
            </w14:solidFill>
          </w14:textFill>
        </w:rPr>
        <w:t>表</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所列</w:t>
      </w:r>
      <w:r>
        <w:rPr>
          <w:rFonts w:hint="default"/>
          <w:color w:val="000000" w:themeColor="text1"/>
          <w:lang w:val="en-US" w:eastAsia="zh-CN"/>
          <w14:textFill>
            <w14:solidFill>
              <w14:schemeClr w14:val="tx1"/>
            </w14:solidFill>
          </w14:textFill>
        </w:rPr>
        <w:t>。AR(1)检验p值小于</w:t>
      </w:r>
      <w:r>
        <w:rPr>
          <w:rFonts w:hint="eastAsia" w:ascii="宋体" w:hAnsi="宋体" w:eastAsia="宋体" w:cs="宋体"/>
          <w:color w:val="000000" w:themeColor="text1"/>
          <w:lang w:val="en-US" w:eastAsia="zh-CN"/>
          <w14:textFill>
            <w14:solidFill>
              <w14:schemeClr w14:val="tx1"/>
            </w14:solidFill>
          </w14:textFill>
        </w:rPr>
        <w:t>0.1</w:t>
      </w:r>
      <w:r>
        <w:rPr>
          <w:rFonts w:hint="default"/>
          <w:color w:val="000000" w:themeColor="text1"/>
          <w:lang w:val="en-US" w:eastAsia="zh-CN"/>
          <w14:textFill>
            <w14:solidFill>
              <w14:schemeClr w14:val="tx1"/>
            </w14:solidFill>
          </w14:textFill>
        </w:rPr>
        <w:t>，说明扰动项差分一阶自相关；AR(2)检验p值大于</w:t>
      </w:r>
      <w:r>
        <w:rPr>
          <w:rFonts w:hint="eastAsia" w:ascii="宋体" w:hAnsi="宋体" w:eastAsia="宋体" w:cs="宋体"/>
          <w:color w:val="000000" w:themeColor="text1"/>
          <w:lang w:val="en-US" w:eastAsia="zh-CN"/>
          <w14:textFill>
            <w14:solidFill>
              <w14:schemeClr w14:val="tx1"/>
            </w14:solidFill>
          </w14:textFill>
        </w:rPr>
        <w:t>0.05</w:t>
      </w:r>
      <w:r>
        <w:rPr>
          <w:rFonts w:hint="default"/>
          <w:color w:val="000000" w:themeColor="text1"/>
          <w:lang w:val="en-US" w:eastAsia="zh-CN"/>
          <w14:textFill>
            <w14:solidFill>
              <w14:schemeClr w14:val="tx1"/>
            </w14:solidFill>
          </w14:textFill>
        </w:rPr>
        <w:t>，说明扰动项差分二阶不相关</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Sargan检验的p值</w:t>
      </w:r>
      <w:r>
        <w:rPr>
          <w:rFonts w:hint="eastAsia"/>
          <w:color w:val="000000" w:themeColor="text1"/>
          <w:lang w:val="en-US" w:eastAsia="zh-CN"/>
          <w14:textFill>
            <w14:solidFill>
              <w14:schemeClr w14:val="tx1"/>
            </w14:solidFill>
          </w14:textFill>
        </w:rPr>
        <w:t>大于</w:t>
      </w:r>
      <w:r>
        <w:rPr>
          <w:rFonts w:hint="eastAsia" w:ascii="宋体" w:hAnsi="宋体" w:eastAsia="宋体" w:cs="宋体"/>
          <w:color w:val="000000" w:themeColor="text1"/>
          <w:lang w:val="en-US" w:eastAsia="zh-CN"/>
          <w14:textFill>
            <w14:solidFill>
              <w14:schemeClr w14:val="tx1"/>
            </w14:solidFill>
          </w14:textFill>
        </w:rPr>
        <w:t>0.1</w:t>
      </w:r>
      <w:r>
        <w:rPr>
          <w:rFonts w:hint="default"/>
          <w:color w:val="000000" w:themeColor="text1"/>
          <w:lang w:val="en-US" w:eastAsia="zh-CN"/>
          <w14:textFill>
            <w14:solidFill>
              <w14:schemeClr w14:val="tx1"/>
            </w14:solidFill>
          </w14:textFill>
        </w:rPr>
        <w:t>，不拒绝原假设，</w:t>
      </w:r>
      <w:r>
        <w:rPr>
          <w:rFonts w:hint="eastAsia"/>
          <w:color w:val="000000" w:themeColor="text1"/>
          <w:lang w:val="en-US" w:eastAsia="zh-CN"/>
          <w14:textFill>
            <w14:solidFill>
              <w14:schemeClr w14:val="tx1"/>
            </w14:solidFill>
          </w14:textFill>
        </w:rPr>
        <w:t>异方差稳健的</w:t>
      </w:r>
      <w:r>
        <w:rPr>
          <w:rFonts w:hint="default"/>
          <w:color w:val="000000" w:themeColor="text1"/>
          <w:lang w:val="en-US" w:eastAsia="zh-CN"/>
          <w14:textFill>
            <w14:solidFill>
              <w14:schemeClr w14:val="tx1"/>
            </w14:solidFill>
          </w14:textFill>
        </w:rPr>
        <w:t>Hansen</w:t>
      </w:r>
      <w:r>
        <w:rPr>
          <w:rFonts w:hint="eastAsia"/>
          <w:color w:val="000000" w:themeColor="text1"/>
          <w:lang w:val="en-US" w:eastAsia="zh-CN"/>
          <w14:textFill>
            <w14:solidFill>
              <w14:schemeClr w14:val="tx1"/>
            </w14:solidFill>
          </w14:textFill>
        </w:rPr>
        <w:t>检验</w:t>
      </w:r>
      <w:r>
        <w:rPr>
          <w:rFonts w:hint="default"/>
          <w:color w:val="000000" w:themeColor="text1"/>
          <w:lang w:val="en-US" w:eastAsia="zh-CN"/>
          <w14:textFill>
            <w14:solidFill>
              <w14:schemeClr w14:val="tx1"/>
            </w14:solidFill>
          </w14:textFill>
        </w:rPr>
        <w:t>p</w:t>
      </w:r>
      <w:r>
        <w:rPr>
          <w:rFonts w:hint="eastAsia"/>
          <w:color w:val="000000" w:themeColor="text1"/>
          <w:lang w:val="en-US" w:eastAsia="zh-CN"/>
          <w14:textFill>
            <w14:solidFill>
              <w14:schemeClr w14:val="tx1"/>
            </w14:solidFill>
          </w14:textFill>
        </w:rPr>
        <w:t>值大于</w:t>
      </w:r>
      <w:r>
        <w:rPr>
          <w:rFonts w:hint="eastAsia" w:ascii="宋体" w:hAnsi="宋体" w:eastAsia="宋体" w:cs="宋体"/>
          <w:color w:val="000000" w:themeColor="text1"/>
          <w:lang w:val="en-US" w:eastAsia="zh-CN"/>
          <w14:textFill>
            <w14:solidFill>
              <w14:schemeClr w14:val="tx1"/>
            </w14:solidFill>
          </w14:textFill>
        </w:rPr>
        <w:t>0.1</w:t>
      </w:r>
      <w:r>
        <w:rPr>
          <w:rFonts w:hint="eastAsia"/>
          <w:color w:val="000000" w:themeColor="text1"/>
          <w:lang w:val="en-US" w:eastAsia="zh-CN"/>
          <w14:textFill>
            <w14:solidFill>
              <w14:schemeClr w14:val="tx1"/>
            </w14:solidFill>
          </w14:textFill>
        </w:rPr>
        <w:t>，这两个检验均表明工具变量有效。</w:t>
      </w:r>
      <w:r>
        <w:rPr>
          <w:rFonts w:hint="default"/>
          <w:color w:val="000000" w:themeColor="text1"/>
          <w:lang w:val="en-US" w:eastAsia="zh-CN"/>
          <w14:textFill>
            <w14:solidFill>
              <w14:schemeClr w14:val="tx1"/>
            </w14:solidFill>
          </w14:textFill>
        </w:rPr>
        <w:t>综上检验结果说明该模型有效。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000000" w:themeColor="text1"/>
          <w:position w:val="-12"/>
          <w:sz w:val="21"/>
          <w:szCs w:val="21"/>
          <w:vertAlign w:val="baseline"/>
          <w:lang w:val="en-US" w:eastAsia="zh-CN"/>
          <w14:textFill>
            <w14:solidFill>
              <w14:schemeClr w14:val="tx1"/>
            </w14:solidFill>
          </w14:textFill>
        </w:rPr>
      </w:pP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表</w:t>
      </w:r>
      <w:r>
        <w:rPr>
          <w:rFonts w:hint="eastAsia" w:ascii="宋体" w:hAnsi="宋体" w:cs="宋体"/>
          <w:color w:val="000000" w:themeColor="text1"/>
          <w:position w:val="-12"/>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position w:val="-12"/>
          <w:sz w:val="21"/>
          <w:szCs w:val="21"/>
          <w:vertAlign w:val="baseline"/>
          <w:lang w:val="en-US" w:eastAsia="zh-CN"/>
          <w14:textFill>
            <w14:solidFill>
              <w14:schemeClr w14:val="tx1"/>
            </w14:solidFill>
          </w14:textFill>
        </w:rPr>
        <w:t>AR</w:t>
      </w: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检验和</w:t>
      </w:r>
      <w:r>
        <w:rPr>
          <w:rFonts w:hint="default" w:ascii="Times New Roman" w:hAnsi="Times New Roman" w:eastAsia="宋体" w:cs="Times New Roman"/>
          <w:color w:val="000000" w:themeColor="text1"/>
          <w:position w:val="-12"/>
          <w:sz w:val="21"/>
          <w:szCs w:val="21"/>
          <w:vertAlign w:val="baseline"/>
          <w:lang w:val="en-US" w:eastAsia="zh-CN"/>
          <w14:textFill>
            <w14:solidFill>
              <w14:schemeClr w14:val="tx1"/>
            </w14:solidFill>
          </w14:textFill>
        </w:rPr>
        <w:t>Sargan</w:t>
      </w: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检验结果</w:t>
      </w:r>
    </w:p>
    <w:tbl>
      <w:tblPr>
        <w:tblStyle w:val="10"/>
        <w:tblW w:w="4998" w:type="pct"/>
        <w:jc w:val="center"/>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Layout w:type="autofit"/>
        <w:tblCellMar>
          <w:top w:w="0" w:type="dxa"/>
          <w:left w:w="0" w:type="dxa"/>
          <w:bottom w:w="0" w:type="dxa"/>
          <w:right w:w="0" w:type="dxa"/>
        </w:tblCellMar>
      </w:tblPr>
      <w:tblGrid>
        <w:gridCol w:w="2775"/>
        <w:gridCol w:w="2775"/>
        <w:gridCol w:w="2777"/>
      </w:tblGrid>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100" w:hRule="atLeast"/>
          <w:jc w:val="center"/>
        </w:trPr>
        <w:tc>
          <w:tcPr>
            <w:tcW w:w="1666"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变量</w:t>
            </w:r>
          </w:p>
        </w:tc>
        <w:tc>
          <w:tcPr>
            <w:tcW w:w="1666"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检验值</w:t>
            </w:r>
          </w:p>
        </w:tc>
        <w:tc>
          <w:tcPr>
            <w:tcW w:w="1667" w:type="pct"/>
            <w:tcBorders>
              <w:top w:val="single" w:color="000000" w:sz="8" w:space="0"/>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Prob＞z</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219" w:hRule="atLeast"/>
          <w:jc w:val="center"/>
        </w:trPr>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AR(1)</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检验</w:t>
            </w:r>
          </w:p>
        </w:tc>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0.0310</w:t>
            </w:r>
          </w:p>
        </w:tc>
        <w:tc>
          <w:tcPr>
            <w:tcW w:w="1667" w:type="pct"/>
            <w:tcBorders>
              <w:top w:val="nil"/>
              <w:bottom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0.0753</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351" w:hRule="atLeast"/>
          <w:jc w:val="center"/>
        </w:trPr>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AR(2)</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检验</w:t>
            </w:r>
          </w:p>
        </w:tc>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0.1211</w:t>
            </w:r>
          </w:p>
        </w:tc>
        <w:tc>
          <w:tcPr>
            <w:tcW w:w="1667" w:type="pct"/>
            <w:tcBorders>
              <w:top w:val="nil"/>
              <w:bottom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0.9036</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3" w:hRule="atLeast"/>
          <w:jc w:val="center"/>
        </w:trPr>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Sargan</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检验</w:t>
            </w:r>
          </w:p>
        </w:tc>
        <w:tc>
          <w:tcPr>
            <w:tcW w:w="1666" w:type="pct"/>
            <w:tcBorders>
              <w:top w:val="nil"/>
              <w:bottom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3.8528</w:t>
            </w:r>
          </w:p>
        </w:tc>
        <w:tc>
          <w:tcPr>
            <w:tcW w:w="1667" w:type="pct"/>
            <w:tcBorders>
              <w:top w:val="nil"/>
              <w:bottom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1.0000</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3" w:hRule="atLeast"/>
          <w:jc w:val="center"/>
        </w:trPr>
        <w:tc>
          <w:tcPr>
            <w:tcW w:w="1666"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Hansen</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检验</w:t>
            </w:r>
          </w:p>
        </w:tc>
        <w:tc>
          <w:tcPr>
            <w:tcW w:w="1666" w:type="pct"/>
            <w:tcBorders>
              <w:top w:val="nil"/>
              <w:bottom w:val="single" w:color="000000" w:sz="8"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0.7900</w:t>
            </w:r>
          </w:p>
        </w:tc>
        <w:tc>
          <w:tcPr>
            <w:tcW w:w="1667" w:type="pct"/>
            <w:tcBorders>
              <w:top w:val="nil"/>
              <w:bottom w:val="single" w:color="000000" w:sz="8"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0.6200</w:t>
            </w:r>
          </w:p>
        </w:tc>
      </w:tr>
    </w:tbl>
    <w:p>
      <w:pPr>
        <w:bidi w:val="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以被解释变量的一阶滞后项为工具变量，</w:t>
      </w:r>
      <w:r>
        <w:rPr>
          <w:rFonts w:hint="eastAsia"/>
          <w:color w:val="000000" w:themeColor="text1"/>
          <w:lang w:val="en-US" w:eastAsia="zh-CN"/>
          <w14:textFill>
            <w14:solidFill>
              <w14:schemeClr w14:val="tx1"/>
            </w14:solidFill>
          </w14:textFill>
        </w:rPr>
        <w:t>借助</w:t>
      </w:r>
      <w:r>
        <w:rPr>
          <w:rFonts w:hint="default"/>
          <w:color w:val="000000" w:themeColor="text1"/>
          <w:lang w:val="en-US" w:eastAsia="zh-CN"/>
          <w14:textFill>
            <w14:solidFill>
              <w14:schemeClr w14:val="tx1"/>
            </w14:solidFill>
          </w14:textFill>
        </w:rPr>
        <w:t>stata16</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利用SYS-GMM动态面板模型对</w:t>
      </w:r>
      <w:r>
        <w:rPr>
          <w:rFonts w:hint="eastAsia"/>
          <w:color w:val="000000" w:themeColor="text1"/>
          <w:lang w:val="en-US" w:eastAsia="zh-CN"/>
          <w14:textFill>
            <w14:solidFill>
              <w14:schemeClr w14:val="tx1"/>
            </w14:solidFill>
          </w14:textFill>
        </w:rPr>
        <w:t>京</w:t>
      </w:r>
      <w:r>
        <w:rPr>
          <w:rFonts w:hint="eastAsia" w:ascii="宋体" w:hAnsi="宋体" w:eastAsia="宋体" w:cs="宋体"/>
          <w:color w:val="000000" w:themeColor="text1"/>
          <w:lang w:val="en-US" w:eastAsia="zh-CN"/>
          <w14:textFill>
            <w14:solidFill>
              <w14:schemeClr w14:val="tx1"/>
            </w14:solidFill>
          </w14:textFill>
        </w:rPr>
        <w:t>津冀13市生态效率的影响因素进行回归分析，结果如表</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pP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表</w:t>
      </w:r>
      <w:r>
        <w:rPr>
          <w:rFonts w:hint="eastAsia" w:ascii="宋体" w:hAnsi="宋体" w:cs="宋体"/>
          <w:color w:val="000000" w:themeColor="text1"/>
          <w:position w:val="-12"/>
          <w:sz w:val="21"/>
          <w:szCs w:val="21"/>
          <w:vertAlign w:val="baseline"/>
          <w:lang w:val="en-US" w:eastAsia="zh-CN"/>
          <w14:textFill>
            <w14:solidFill>
              <w14:schemeClr w14:val="tx1"/>
            </w14:solidFill>
          </w14:textFill>
        </w:rPr>
        <w:t>7</w:t>
      </w: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 xml:space="preserve"> 两步</w:t>
      </w:r>
      <w:r>
        <w:rPr>
          <w:rFonts w:hint="default" w:ascii="Times New Roman" w:hAnsi="Times New Roman" w:eastAsia="宋体" w:cs="Times New Roman"/>
          <w:color w:val="000000" w:themeColor="text1"/>
          <w:position w:val="-12"/>
          <w:sz w:val="21"/>
          <w:szCs w:val="21"/>
          <w:vertAlign w:val="baseline"/>
          <w:lang w:val="en-US" w:eastAsia="zh-CN"/>
          <w14:textFill>
            <w14:solidFill>
              <w14:schemeClr w14:val="tx1"/>
            </w14:solidFill>
          </w14:textFill>
        </w:rPr>
        <w:t>SYS-GMM</w:t>
      </w:r>
      <w:r>
        <w:rPr>
          <w:rFonts w:hint="eastAsia" w:ascii="宋体" w:hAnsi="宋体" w:eastAsia="宋体" w:cs="宋体"/>
          <w:color w:val="000000" w:themeColor="text1"/>
          <w:position w:val="-12"/>
          <w:sz w:val="21"/>
          <w:szCs w:val="21"/>
          <w:vertAlign w:val="baseline"/>
          <w:lang w:val="en-US" w:eastAsia="zh-CN"/>
          <w14:textFill>
            <w14:solidFill>
              <w14:schemeClr w14:val="tx1"/>
            </w14:solidFill>
          </w14:textFill>
        </w:rPr>
        <w:t>回归估计结果</w:t>
      </w:r>
    </w:p>
    <w:tbl>
      <w:tblPr>
        <w:tblStyle w:val="10"/>
        <w:tblW w:w="4998" w:type="pct"/>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Layout w:type="autofit"/>
        <w:tblCellMar>
          <w:top w:w="0" w:type="dxa"/>
          <w:left w:w="0" w:type="dxa"/>
          <w:bottom w:w="0" w:type="dxa"/>
          <w:right w:w="0" w:type="dxa"/>
        </w:tblCellMar>
      </w:tblPr>
      <w:tblGrid>
        <w:gridCol w:w="2822"/>
        <w:gridCol w:w="3245"/>
        <w:gridCol w:w="2260"/>
      </w:tblGrid>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90" w:hRule="atLeast"/>
        </w:trPr>
        <w:tc>
          <w:tcPr>
            <w:tcW w:w="1694" w:type="pct"/>
            <w:vMerge w:val="restart"/>
            <w:tcBorders>
              <w:top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变量</w:t>
            </w:r>
          </w:p>
        </w:tc>
        <w:tc>
          <w:tcPr>
            <w:tcW w:w="3305" w:type="pct"/>
            <w:gridSpan w:val="2"/>
            <w:tcBorders>
              <w:top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生态效率</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90" w:hRule="atLeast"/>
        </w:trPr>
        <w:tc>
          <w:tcPr>
            <w:tcW w:w="1694" w:type="pct"/>
            <w:vMerge w:val="continue"/>
            <w:tcBorders>
              <w:top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948" w:type="pct"/>
            <w:tcBorders>
              <w:top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估计系数</w:t>
            </w:r>
          </w:p>
        </w:tc>
        <w:tc>
          <w:tcPr>
            <w:tcW w:w="1357" w:type="pct"/>
            <w:tcBorders>
              <w:top w:val="single" w:color="000000" w:sz="4" w:space="0"/>
              <w:bottom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z</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统计量</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230"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lnPGDP</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2.2682</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shd w:val="clear" w:color="auto" w:fill="auto"/>
          <w:tblCellMar>
            <w:top w:w="0" w:type="dxa"/>
            <w:left w:w="0" w:type="dxa"/>
            <w:bottom w:w="0" w:type="dxa"/>
            <w:right w:w="0" w:type="dxa"/>
          </w:tblCellMar>
        </w:tblPrEx>
        <w:trPr>
          <w:trHeight w:val="194"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IND</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-0.0882</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137"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lnPD</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-2.1963</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-0.69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161"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URB</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0.0731</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0.06</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221"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FDI</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0.0115</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0.02</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185" w:hRule="atLeast"/>
        </w:trPr>
        <w:tc>
          <w:tcPr>
            <w:tcW w:w="1694"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SCI</w:t>
            </w:r>
          </w:p>
        </w:tc>
        <w:tc>
          <w:tcPr>
            <w:tcW w:w="1948" w:type="pct"/>
            <w:tcBorders>
              <w:top w:val="nil"/>
              <w:bottom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0.6567</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0.29</w:t>
            </w:r>
          </w:p>
        </w:tc>
      </w:tr>
      <w:tr>
        <w:tblPrEx>
          <w:tblBorders>
            <w:top w:val="none" w:color="auto" w:sz="4" w:space="0"/>
            <w:left w:val="none" w:color="auto" w:sz="0" w:space="0"/>
            <w:bottom w:val="none" w:color="auto" w:sz="4" w:space="0"/>
            <w:right w:val="none" w:color="auto" w:sz="0" w:space="0"/>
            <w:insideH w:val="none" w:color="auto" w:sz="4" w:space="0"/>
            <w:insideV w:val="none" w:color="auto" w:sz="0" w:space="0"/>
          </w:tblBorders>
          <w:tblCellMar>
            <w:top w:w="0" w:type="dxa"/>
            <w:left w:w="0" w:type="dxa"/>
            <w:bottom w:w="0" w:type="dxa"/>
            <w:right w:w="0" w:type="dxa"/>
          </w:tblCellMar>
        </w:tblPrEx>
        <w:trPr>
          <w:trHeight w:val="327" w:hRule="atLeast"/>
        </w:trPr>
        <w:tc>
          <w:tcPr>
            <w:tcW w:w="1694" w:type="pct"/>
            <w:tcBorders>
              <w:top w:val="nil"/>
              <w:bottom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_cons</w:t>
            </w:r>
          </w:p>
        </w:tc>
        <w:tc>
          <w:tcPr>
            <w:tcW w:w="1948" w:type="pct"/>
            <w:tcBorders>
              <w:top w:val="nil"/>
              <w:bottom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2.5097</w:t>
            </w:r>
            <w:r>
              <w:rPr>
                <w:rFonts w:hint="eastAsia" w:ascii="宋体" w:hAnsi="宋体" w:eastAsia="宋体" w:cs="宋体"/>
                <w:i w:val="0"/>
                <w:color w:val="000000" w:themeColor="text1"/>
                <w:kern w:val="0"/>
                <w:sz w:val="21"/>
                <w:szCs w:val="21"/>
                <w:u w:val="none"/>
                <w:vertAlign w:val="superscript"/>
                <w:lang w:val="en-US" w:eastAsia="zh-CN" w:bidi="ar"/>
                <w14:textFill>
                  <w14:solidFill>
                    <w14:schemeClr w14:val="tx1"/>
                  </w14:solidFill>
                </w14:textFill>
              </w:rPr>
              <w:t>***</w:t>
            </w:r>
          </w:p>
        </w:tc>
        <w:tc>
          <w:tcPr>
            <w:tcW w:w="1357" w:type="pct"/>
            <w:tcBorders>
              <w:top w:val="nil"/>
              <w:bottom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0.42</w:t>
            </w:r>
          </w:p>
        </w:tc>
      </w:tr>
    </w:tbl>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注：***、**、*分别表示在0.1、0.05与0.1的显著性水平下通过检验</w:t>
      </w:r>
    </w:p>
    <w:p>
      <w:pPr>
        <w:bidi w:val="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结果分析 从</w:t>
      </w:r>
      <w:r>
        <w:rPr>
          <w:rFonts w:hint="default"/>
          <w:color w:val="000000" w:themeColor="text1"/>
          <w:lang w:val="en-US" w:eastAsia="zh-CN"/>
          <w14:textFill>
            <w14:solidFill>
              <w14:schemeClr w14:val="tx1"/>
            </w14:solidFill>
          </w14:textFill>
        </w:rPr>
        <w:t>SYS-GMM</w:t>
      </w:r>
      <w:r>
        <w:rPr>
          <w:rFonts w:hint="eastAsia"/>
          <w:color w:val="000000" w:themeColor="text1"/>
          <w:lang w:val="en-US" w:eastAsia="zh-CN"/>
          <w14:textFill>
            <w14:solidFill>
              <w14:schemeClr w14:val="tx1"/>
            </w14:solidFill>
          </w14:textFill>
        </w:rPr>
        <w:t>估计系数看，两阶段滞后期生态效率对当期效率产生显著的正向影响，表明生态效率提升是一个长期积累的过程；在选取的</w:t>
      </w:r>
      <w:r>
        <w:rPr>
          <w:rFonts w:hint="eastAsia" w:ascii="宋体" w:hAnsi="宋体" w:eastAsia="宋体" w:cs="宋体"/>
          <w:color w:val="000000" w:themeColor="text1"/>
          <w:lang w:val="en-US" w:eastAsia="zh-CN"/>
          <w14:textFill>
            <w14:solidFill>
              <w14:schemeClr w14:val="tx1"/>
            </w14:solidFill>
          </w14:textFill>
        </w:rPr>
        <w:t>6</w:t>
      </w:r>
      <w:r>
        <w:rPr>
          <w:rFonts w:hint="eastAsia"/>
          <w:color w:val="000000" w:themeColor="text1"/>
          <w:lang w:val="en-US" w:eastAsia="zh-CN"/>
          <w14:textFill>
            <w14:solidFill>
              <w14:schemeClr w14:val="tx1"/>
            </w14:solidFill>
          </w14:textFill>
        </w:rPr>
        <w:t>个影响因素中，各因素对生态效率均通过了显著性检验，产生了不同程度的影响。其中，经济发展对生态效率的影响最为显著，产生了正面的推动作用；科技进步是提升生态效率的“利刃”。科技园区、协同创新展示中心等科研机构在京津冀城市群“遍地开花”，人工智能自主研发技术和绿色清洁技术不断更新和完善，为该区域生态环境建设做出了贡献，促进生态效率提高；城市化率提高使城市居民的生活水平及环保理念不断升级，对绿色建筑、绿色产业、绿色城市规划的要求不断提高，带动城市生态环境建设逐步加强，对生态效率产生正向影响；对外开放程度也对生态效率产生正向效应，天津、唐山、沧州等海运发达，有利于吸引外商投资，引进先进的技术及管理经验，提高管理效率。然而，人口发展对生态效率具有明显的阻滞作用，人口密度大有可能带来水、土地等资源的大量消耗，加剧大气污染和环境恶化，增加治理的成本和难度；此外，产业结构不合理也是制约京津冀城市群生态效率提升的重要因素，应积极推动产业结构实现“以退为进、重三轻二”的优化升级，真正做到产业高效化、集约化、清洁化，促进经济发展和生态环境的协调发展。</w:t>
      </w:r>
    </w:p>
    <w:p>
      <w:pPr>
        <w:pStyle w:val="2"/>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default"/>
          <w:color w:val="000000" w:themeColor="text1"/>
          <w:lang w:val="en-US" w:eastAsia="zh-CN"/>
          <w14:textFill>
            <w14:solidFill>
              <w14:schemeClr w14:val="tx1"/>
            </w14:solidFill>
          </w14:textFill>
        </w:rPr>
        <w:t>结</w:t>
      </w:r>
      <w:r>
        <w:rPr>
          <w:rFonts w:hint="eastAsia"/>
          <w:color w:val="000000" w:themeColor="text1"/>
          <w:lang w:val="en-US" w:eastAsia="zh-CN"/>
          <w14:textFill>
            <w14:solidFill>
              <w14:schemeClr w14:val="tx1"/>
            </w14:solidFill>
          </w14:textFill>
        </w:rPr>
        <w:t>语</w:t>
      </w:r>
    </w:p>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（一）研究结论</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根据前文的研究，得出如下结论：</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1.京津冀城市群生态效率总体一般，并且在波动中趋于走低态势。其中，仅有沧州一市为高生态效率，</w:t>
      </w:r>
      <w:r>
        <w:rPr>
          <w:rFonts w:hint="eastAsia" w:ascii="宋体" w:hAnsi="宋体" w:cs="宋体"/>
          <w:color w:val="000000" w:themeColor="text1"/>
          <w:lang w:val="en-US" w:eastAsia="zh-CN"/>
          <w14:textFill>
            <w14:solidFill>
              <w14:schemeClr w14:val="tx1"/>
            </w14:solidFill>
          </w14:textFill>
        </w:rPr>
        <w:t>这与该城市良好的环境基础、持续强化环保措施和严格完善环保机制等密不可分。其余城市均在中等效率以下，尽管京津等地经济发达、资源丰富，但其与消耗大、浪费多相伴而生，加之较大的人口密度意味着生产需要更多能源资源的投入，因此生态效率短期内很难实现大幅提升</w:t>
      </w:r>
      <w:r>
        <w:rPr>
          <w:rFonts w:hint="eastAsia" w:ascii="宋体" w:hAnsi="宋体" w:eastAsia="宋体" w:cs="宋体"/>
          <w:color w:val="000000" w:themeColor="text1"/>
          <w:lang w:val="en-US" w:eastAsia="zh-CN"/>
          <w14:textFill>
            <w14:solidFill>
              <w14:schemeClr w14:val="tx1"/>
            </w14:solidFill>
          </w14:textFill>
        </w:rPr>
        <w:t>；2.从生态无效率分解结果看，非期望产出冗余是阻碍生态效率提升的主要原因，与能源相关的无效率较高，表明可以采取节能降耗的方式挖掘增长潜力；3.在外部影响因素方面，经济发展和科技进步对其生态效率的正面影响最为显著，城市化率和对外开放程度对生态效率也有积极的推动作用，反之，人口密度和产业结构对具有负面的阻滞作用。</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（二）对策建议</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前文生态效率演进态势、无效率分解及影响因素的分析结果表明，积极采取措施提升京津冀生态效率极为紧迫，应致力于以联合防治改善区域生态失调面貌、以节能减排助推区域生态效率进步、以科技创新驱动区域生态环境建设。</w:t>
      </w:r>
    </w:p>
    <w:p>
      <w:pPr>
        <w:bidi w:val="0"/>
        <w:rPr>
          <w:rFonts w:hint="eastAsia" w:ascii="宋体" w:hAnsi="宋体" w:eastAsia="宋体" w:cs="宋体"/>
          <w:lang w:val="en-US" w:eastAsia="zh-CN"/>
        </w:rPr>
      </w:pPr>
      <w:r>
        <w:rPr>
          <w:rFonts w:hint="eastAsia" w:ascii="宋体" w:hAnsi="宋体" w:eastAsia="宋体" w:cs="宋体"/>
          <w:color w:val="000000" w:themeColor="text1"/>
          <w:lang w:val="en-US" w:eastAsia="zh-CN"/>
          <w14:textFill>
            <w14:solidFill>
              <w14:schemeClr w14:val="tx1"/>
            </w14:solidFill>
          </w14:textFill>
        </w:rPr>
        <w:t>1.以联合防治改善区域生态失调面貌 面对京津冀城市群整体生态效率偏低的现状，应探寻三地生态联合防治的协同建设保障机制。其一，打破“一亩三分地”的思维定式，统一京津冀生态环境规划，制定统一的环境污染排放标准和统一的区域生态环境监</w:t>
      </w:r>
      <w:r>
        <w:rPr>
          <w:rFonts w:hint="eastAsia" w:ascii="宋体" w:hAnsi="宋体" w:eastAsia="宋体" w:cs="宋体"/>
          <w:lang w:val="en-US" w:eastAsia="zh-CN"/>
        </w:rPr>
        <w:t>测网络，建立跨区跨界联合执法。其二，空气污染是京津冀目前最为突出和首要解决的问题，因此，应积极推动大气污染联防联控。应大力推进清洁取暖散煤替代工程，强化秸秆焚烧监管力度，严防“散乱污”企业反弹，依法取缔燃煤锅炉和炉窑，真正落实对各种污染物排放的严格控制，全面完成打赢蓝天保卫战重点任务。</w:t>
      </w:r>
    </w:p>
    <w:p>
      <w:pPr>
        <w:bidi w:val="0"/>
        <w:rPr>
          <w:rFonts w:hint="eastAsia" w:ascii="宋体" w:hAnsi="宋体" w:eastAsia="宋体" w:cs="宋体"/>
          <w:lang w:val="en-US" w:eastAsia="zh-CN"/>
        </w:rPr>
      </w:pPr>
      <w:r>
        <w:rPr>
          <w:rFonts w:hint="eastAsia" w:ascii="宋体" w:hAnsi="宋体" w:eastAsia="宋体" w:cs="宋体"/>
          <w:lang w:val="en-US" w:eastAsia="zh-CN"/>
        </w:rPr>
        <w:t>2.以节能减排助推区域生态效率进步 根据由能源投入、非期望产出带来的生态无效率值较高的结果以及产业结构偏重对生态效率的负面影响，该区域应坚持不懈推进节能减排，并将完善产业结构作为提升生态效率的落脚点。其一，加快新旧动能转换，推动产业结构优化升级。河北作为京津冀协同发展的重要一极，承接了来自京津的大量产业，是京津冀区域建设的短板所在，应转换增长动力、加快发展新兴产业；调整和优化工业结构，运用新科技手段等先进技术改造传统工业，推动业务流程、组织结构和价值链升级，致力于形成更加绿色化、循环化、低碳化的生产方式。其二，加大环保执法监管力度。针对企业各种违规行为，加大处罚力度；同时加快推进节能环保数据的开发，鼓励各地区各部门依托大数据、云计算、物联网等信息化手段，探索实行“互联网＋监管”等新模式，努力构建“制度＋技术”的有效监管体系。</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lang w:val="en-US" w:eastAsia="zh-CN"/>
        </w:rPr>
        <w:t>3.以科技创新驱动区域生态环境建设 基于经济发展和科技进步对生态效率的正向作用，京津冀城市群应充分发挥这一优势，使科技成果转化为实现经济高质量发展的重要保障，以反哺经济和生态环境的协调发展。一是要坚持创新驱动发展。加快国家创新示范区建设，集中力量解决大气污染治理、清洁能源等区域重点关注的难题，推动高质量发展；二是要整</w:t>
      </w:r>
      <w:r>
        <w:rPr>
          <w:rFonts w:hint="eastAsia" w:ascii="宋体" w:hAnsi="宋体" w:eastAsia="宋体" w:cs="宋体"/>
          <w:color w:val="000000" w:themeColor="text1"/>
          <w:lang w:val="en-US" w:eastAsia="zh-CN"/>
          <w14:textFill>
            <w14:solidFill>
              <w14:schemeClr w14:val="tx1"/>
            </w14:solidFill>
          </w14:textFill>
        </w:rPr>
        <w:t>合区域资源谋求创新突破。集聚高端创新要素，促进科技创新资源和成果开放共享，加强科技人才培养与交流，为京津冀生态环境建设注入新鲜血液、增添后备力量。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kern w:val="44"/>
          <w:sz w:val="28"/>
          <w:szCs w:val="48"/>
          <w:lang w:val="en-US" w:eastAsia="zh-CN" w:bidi="ar-SA"/>
          <w14:textFill>
            <w14:solidFill>
              <w14:schemeClr w14:val="tx1"/>
            </w14:solidFill>
          </w14:textFill>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bookmarkStart w:id="0" w:name="_Ref7847"/>
      <w:r>
        <w:rPr>
          <w:rFonts w:hint="eastAsia" w:ascii="宋体" w:hAnsi="宋体" w:eastAsia="宋体" w:cs="宋体"/>
          <w:color w:val="000000" w:themeColor="text1"/>
          <w:lang w:val="en-US" w:eastAsia="zh-CN"/>
          <w14:textFill>
            <w14:solidFill>
              <w14:schemeClr w14:val="tx1"/>
            </w14:solidFill>
          </w14:textFill>
        </w:rPr>
        <w:t>引自中国社会科学网.http://news.cssn.cn/zx/bwyc/202009/t20200911_5181556.shtml.</w:t>
      </w:r>
      <w:bookmarkEnd w:id="0"/>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1" w:name="_Ref7945"/>
      <w:r>
        <w:rPr>
          <w:rFonts w:hint="eastAsia" w:ascii="宋体" w:hAnsi="宋体" w:eastAsia="宋体" w:cs="宋体"/>
          <w:color w:val="000000" w:themeColor="text1"/>
          <w:kern w:val="2"/>
          <w:sz w:val="21"/>
          <w:szCs w:val="21"/>
          <w:lang w:val="en-US" w:eastAsia="zh-CN" w:bidi="ar-SA"/>
          <w14:textFill>
            <w14:solidFill>
              <w14:schemeClr w14:val="tx1"/>
            </w14:solidFill>
          </w14:textFill>
        </w:rPr>
        <w:t>联合国人口行动组织提出的严重缺水标准是人均水资源总量≤1000m</w:t>
      </w:r>
      <w:r>
        <w:rPr>
          <w:rFonts w:hint="eastAsia" w:ascii="宋体" w:hAnsi="宋体" w:eastAsia="宋体" w:cs="宋体"/>
          <w:color w:val="000000" w:themeColor="text1"/>
          <w:kern w:val="2"/>
          <w:sz w:val="21"/>
          <w:szCs w:val="21"/>
          <w:vertAlign w:val="superscript"/>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/人，由此可知，京津冀城市群严重缺水。</w:t>
      </w:r>
      <w:bookmarkEnd w:id="1"/>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bookmarkStart w:id="2" w:name="_Ref8102"/>
      <w:r>
        <w:rPr>
          <w:rFonts w:hint="eastAsia" w:ascii="宋体" w:hAnsi="宋体" w:eastAsia="宋体" w:cs="宋体"/>
          <w:color w:val="000000" w:themeColor="text1"/>
          <w:lang w:val="en-US" w:eastAsia="zh-CN"/>
          <w14:textFill>
            <w14:solidFill>
              <w14:schemeClr w14:val="tx1"/>
            </w14:solidFill>
          </w14:textFill>
        </w:rPr>
        <w:t>包括石家庄市、唐山市、秦皇岛市、邯郸市、邢台市、保定市、张家口市、承德市、沧州市、廊坊市和衡水市。</w:t>
      </w:r>
      <w:bookmarkEnd w:id="2"/>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bookmarkStart w:id="3" w:name="_Ref8167"/>
      <w:r>
        <w:rPr>
          <w:rFonts w:hint="eastAsia" w:ascii="宋体" w:hAnsi="宋体" w:eastAsia="宋体" w:cs="宋体"/>
          <w:color w:val="000000" w:themeColor="text1"/>
          <w:lang w:val="en-US" w:eastAsia="zh-CN"/>
          <w14:textFill>
            <w14:solidFill>
              <w14:schemeClr w14:val="tx1"/>
            </w14:solidFill>
          </w14:textFill>
        </w:rPr>
        <w:t>数据来源于</w:t>
      </w:r>
      <w:r>
        <w:rPr>
          <w:rFonts w:hint="eastAsia" w:ascii="宋体" w:hAnsi="宋体" w:cs="宋体"/>
          <w:color w:val="000000" w:themeColor="text1"/>
          <w:lang w:val="en-US" w:eastAsia="zh-CN"/>
          <w14:textFill>
            <w14:solidFill>
              <w14:schemeClr w14:val="tx1"/>
            </w14:solidFill>
          </w14:textFill>
        </w:rPr>
        <w:t>北京统计局官方网站和2021年1月18日国务院新闻发布会</w:t>
      </w:r>
      <w:r>
        <w:rPr>
          <w:rFonts w:hint="eastAsia" w:ascii="宋体" w:hAnsi="宋体" w:eastAsia="宋体" w:cs="宋体"/>
          <w:color w:val="000000" w:themeColor="text1"/>
          <w:lang w:val="en-US" w:eastAsia="zh-CN"/>
          <w14:textFill>
            <w14:solidFill>
              <w14:schemeClr w14:val="tx1"/>
            </w14:solidFill>
          </w14:textFill>
        </w:rPr>
        <w:t>。</w:t>
      </w:r>
      <w:bookmarkEnd w:id="3"/>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14:textFill>
            <w14:solidFill>
              <w14:schemeClr w14:val="tx1"/>
            </w14:solidFill>
          </w14:textFill>
        </w:rPr>
      </w:pPr>
      <w:bookmarkStart w:id="4" w:name="_Ref8213"/>
      <w:r>
        <w:rPr>
          <w:rFonts w:hint="eastAsia" w:ascii="宋体" w:hAnsi="宋体" w:eastAsia="宋体" w:cs="宋体"/>
          <w:color w:val="000000" w:themeColor="text1"/>
          <w:lang w:val="en-US" w:eastAsia="zh-CN"/>
          <w14:textFill>
            <w14:solidFill>
              <w14:schemeClr w14:val="tx1"/>
            </w14:solidFill>
          </w14:textFill>
        </w:rPr>
        <w:t>数据由京津冀三地国民经济发展公报中各地的地域面积和人口数分别计算得出。</w:t>
      </w:r>
      <w:bookmarkEnd w:id="4"/>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bookmarkStart w:id="5" w:name="_Ref8412"/>
      <w:r>
        <w:rPr>
          <w:rFonts w:hint="eastAsia" w:ascii="宋体" w:hAnsi="宋体" w:eastAsia="宋体" w:cs="宋体"/>
          <w:color w:val="000000" w:themeColor="text1"/>
          <w:lang w:val="en-US" w:eastAsia="zh-CN"/>
          <w14:textFill>
            <w14:solidFill>
              <w14:schemeClr w14:val="tx1"/>
            </w14:solidFill>
          </w14:textFill>
        </w:rPr>
        <w:t>数据由京津冀三地国民经济发展公报中各地的地域面积和人口数分别计算得出。</w:t>
      </w:r>
      <w:bookmarkEnd w:id="5"/>
    </w:p>
    <w:p>
      <w:pPr>
        <w:pStyle w:val="6"/>
        <w:keepNext w:val="0"/>
        <w:keepLines w:val="0"/>
        <w:pageBreakBefore w:val="0"/>
        <w:widowControl w:val="0"/>
        <w:numPr>
          <w:ilvl w:val="0"/>
          <w:numId w:val="0"/>
        </w:numPr>
        <w:kinsoku/>
        <w:wordWrap/>
        <w:overflowPunct/>
        <w:topLinePunct w:val="0"/>
        <w:autoSpaceDE/>
        <w:autoSpaceDN/>
        <w:bidi w:val="0"/>
        <w:adjustRightInd/>
        <w:snapToGrid w:val="0"/>
        <w:ind w:leftChars="200"/>
        <w:textAlignment w:val="auto"/>
        <w:rPr>
          <w:rFonts w:hint="default" w:ascii="宋体" w:hAnsi="宋体" w:cs="宋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0"/>
        <w:rPr>
          <w:rFonts w:hint="eastAsia" w:ascii="宋体" w:hAnsi="宋体" w:eastAsia="宋体" w:cs="宋体"/>
          <w:b/>
          <w:bCs/>
          <w:color w:val="000000" w:themeColor="text1"/>
          <w:kern w:val="44"/>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44"/>
          <w:sz w:val="21"/>
          <w:szCs w:val="21"/>
          <w:lang w:val="en-US" w:eastAsia="zh-CN" w:bidi="ar-SA"/>
          <w14:textFill>
            <w14:solidFill>
              <w14:schemeClr w14:val="tx1"/>
            </w14:solidFill>
          </w14:textFill>
        </w:rPr>
        <w:t>参考文献：</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MA L S,XIN Z,YU P S.The impact of low-carbon city construction on ecolo</w:t>
      </w:r>
      <w:r>
        <w:rPr>
          <w:rFonts w:ascii="Times New Roman" w:hAnsi="Times New Roman" w:eastAsia="宋体" w:cs="Times New Roman"/>
          <w:sz w:val="21"/>
          <w:szCs w:val="21"/>
        </w:rPr>
        <w:t>gical efficiency:Empirical evidence from quasi-natural experiments[J].Resources,</w:t>
      </w:r>
      <w:r>
        <w:rPr>
          <w:rFonts w:hint="eastAsia" w:ascii="Times New Roman" w:hAnsi="Times New Roman" w:eastAsia="宋体" w:cs="Times New Roman"/>
          <w:sz w:val="21"/>
          <w:szCs w:val="21"/>
        </w:rPr>
        <w:t>c</w:t>
      </w:r>
      <w:r>
        <w:rPr>
          <w:rFonts w:ascii="Times New Roman" w:hAnsi="Times New Roman" w:eastAsia="宋体" w:cs="Times New Roman"/>
          <w:sz w:val="21"/>
          <w:szCs w:val="21"/>
        </w:rPr>
        <w:t>onservation&amp;</w:t>
      </w:r>
      <w:r>
        <w:rPr>
          <w:rFonts w:hint="eastAsia" w:ascii="Times New Roman" w:hAnsi="Times New Roman" w:eastAsia="宋体" w:cs="Times New Roman"/>
          <w:sz w:val="21"/>
          <w:szCs w:val="21"/>
        </w:rPr>
        <w:t>r</w:t>
      </w:r>
      <w:r>
        <w:rPr>
          <w:rFonts w:ascii="Times New Roman" w:hAnsi="Times New Roman" w:eastAsia="宋体" w:cs="Times New Roman"/>
          <w:sz w:val="21"/>
          <w:szCs w:val="21"/>
        </w:rPr>
        <w:t>ecycling,2020,157(2):1-12.</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[2]S</w:t>
      </w:r>
      <w:r>
        <w:rPr>
          <w:rFonts w:hint="eastAsia" w:ascii="Times New Roman" w:hAnsi="Times New Roman" w:eastAsia="宋体" w:cs="Times New Roman"/>
          <w:sz w:val="21"/>
          <w:szCs w:val="21"/>
          <w:lang w:val="en-US" w:eastAsia="zh-CN"/>
        </w:rPr>
        <w:t>CHALTEGGER</w:t>
      </w:r>
      <w:r>
        <w:rPr>
          <w:rFonts w:hint="eastAsia" w:ascii="Times New Roman" w:hAnsi="Times New Roman" w:eastAsia="宋体" w:cs="Times New Roman"/>
          <w:sz w:val="21"/>
          <w:szCs w:val="21"/>
        </w:rPr>
        <w:t xml:space="preserve"> S.,S</w:t>
      </w:r>
      <w:r>
        <w:rPr>
          <w:rFonts w:hint="eastAsia" w:ascii="Times New Roman" w:hAnsi="Times New Roman" w:eastAsia="宋体" w:cs="Times New Roman"/>
          <w:sz w:val="21"/>
          <w:szCs w:val="21"/>
          <w:lang w:val="en-US" w:eastAsia="zh-CN"/>
        </w:rPr>
        <w:t>TURM</w:t>
      </w:r>
      <w:r>
        <w:rPr>
          <w:rFonts w:hint="eastAsia" w:ascii="Times New Roman" w:hAnsi="Times New Roman" w:eastAsia="宋体" w:cs="Times New Roman"/>
          <w:sz w:val="21"/>
          <w:szCs w:val="21"/>
        </w:rPr>
        <w:t xml:space="preserve"> A.</w:t>
      </w:r>
      <w:r>
        <w:rPr>
          <w:rFonts w:ascii="Times New Roman" w:hAnsi="Times New Roman" w:eastAsia="宋体" w:cs="Times New Roman"/>
          <w:sz w:val="21"/>
          <w:szCs w:val="21"/>
        </w:rPr>
        <w:t>Ökologische Rationalität. Ansatzpunkte zur Ausgestaltung von Ökologieorientierten Ma</w:t>
      </w:r>
      <w:r>
        <w:rPr>
          <w:rFonts w:hint="eastAsia" w:ascii="Times New Roman" w:hAnsi="Times New Roman" w:eastAsia="宋体" w:cs="Times New Roman"/>
          <w:sz w:val="21"/>
          <w:szCs w:val="21"/>
        </w:rPr>
        <w:t>nagementinstrumenten[J].Die Unternehmung.1990,4(4):273-290.</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[3]H</w:t>
      </w:r>
      <w:r>
        <w:rPr>
          <w:rFonts w:hint="eastAsia" w:ascii="Times New Roman" w:hAnsi="Times New Roman" w:eastAsia="宋体" w:cs="Times New Roman"/>
          <w:sz w:val="21"/>
          <w:szCs w:val="21"/>
          <w:lang w:val="en-US" w:eastAsia="zh-CN"/>
        </w:rPr>
        <w:t>UPPES</w:t>
      </w:r>
      <w:r>
        <w:rPr>
          <w:rFonts w:hint="eastAsia" w:ascii="Times New Roman" w:hAnsi="Times New Roman" w:eastAsia="宋体" w:cs="Times New Roman"/>
          <w:sz w:val="21"/>
          <w:szCs w:val="21"/>
        </w:rPr>
        <w:t xml:space="preserve"> G,M.D.Davidson,K</w:t>
      </w:r>
      <w:r>
        <w:rPr>
          <w:rFonts w:hint="eastAsia" w:ascii="Times New Roman" w:hAnsi="Times New Roman" w:eastAsia="宋体" w:cs="Times New Roman"/>
          <w:sz w:val="21"/>
          <w:szCs w:val="21"/>
          <w:lang w:val="en-US" w:eastAsia="zh-CN"/>
        </w:rPr>
        <w:t>UYPER</w:t>
      </w:r>
      <w:r>
        <w:rPr>
          <w:rFonts w:hint="eastAsia" w:ascii="Times New Roman" w:hAnsi="Times New Roman" w:eastAsia="宋体" w:cs="Times New Roman"/>
          <w:sz w:val="21"/>
          <w:szCs w:val="21"/>
        </w:rPr>
        <w:t xml:space="preserve"> J,et al.Eco-efficient environmental policy in oil and gas production in The Netherlands[J].Ecological Economics,2007,61(1):43-51.</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[4]王雪,施晓清.基于投入产出表的北京市产业生态效率[J].生态学报,2018,38(08):2660-2671.</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[5]贾冯睿,郎晨,刘广鑫,孙琪,马丹竹,岳强.基于物质流分析的中国金属铜资源生态效率研究[J].资源科学,2018,40(09):1706-1715.</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[6]谷平华,刘志成.基于物质流分析的区域工业生态效率评价——以湖南省为例[J].经济地理,2017,37(04):141-148.</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[7]Y</w:t>
      </w:r>
      <w:r>
        <w:rPr>
          <w:rFonts w:hint="eastAsia" w:ascii="Times New Roman" w:hAnsi="Times New Roman" w:eastAsia="宋体" w:cs="Times New Roman"/>
          <w:sz w:val="21"/>
          <w:szCs w:val="21"/>
          <w:lang w:val="en-US" w:eastAsia="zh-CN"/>
        </w:rPr>
        <w:t xml:space="preserve">ANG </w:t>
      </w:r>
      <w:r>
        <w:rPr>
          <w:rFonts w:hint="eastAsia" w:ascii="Times New Roman" w:hAnsi="Times New Roman" w:eastAsia="宋体" w:cs="Times New Roman"/>
          <w:sz w:val="21"/>
          <w:szCs w:val="21"/>
        </w:rPr>
        <w:t>L,Y</w:t>
      </w:r>
      <w:r>
        <w:rPr>
          <w:rFonts w:hint="eastAsia" w:ascii="Times New Roman" w:hAnsi="Times New Roman" w:eastAsia="宋体" w:cs="Times New Roman"/>
          <w:sz w:val="21"/>
          <w:szCs w:val="21"/>
          <w:lang w:val="en-US" w:eastAsia="zh-CN"/>
        </w:rPr>
        <w:t>ANG</w:t>
      </w:r>
      <w:r>
        <w:rPr>
          <w:rFonts w:hint="eastAsia" w:ascii="Times New Roman" w:hAnsi="Times New Roman" w:eastAsia="宋体" w:cs="Times New Roman"/>
          <w:sz w:val="21"/>
          <w:szCs w:val="21"/>
        </w:rPr>
        <w:t>,Y.Evaluation of Eco-efficiency in China from 1978 to 2016:Based on a Modified Ecological Footprint Model[J].Science of The Total Environment,2019:581-590.</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[8]邢贞成,王济干,张婕.中国区域全要素生态效率及其影响因素研究[J].中国人口·资源与环境,2018,28(07):119-126.</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[9]杨勇,邓祥征.中国城市生态效率时空演变及影响因素的区域差异[J].地理科学,2019,39(07):1111-1118.</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[10]顾荣华,朱玉林.江苏省生态效率的时空特征与影响因素——基于随机前沿生产函数与空间计量的检验[J].地域研究与开发,2020,39(06):166-170+176.</w:t>
      </w:r>
    </w:p>
    <w:p>
      <w:pPr>
        <w:spacing w:line="400" w:lineRule="exact"/>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[11]宋改凤,刘艳中,朱晓南,陈勇,张祚.基于能值分析的武汉市生态效率动态变化研究[J].生态经济,2019,35(07):103-109.</w:t>
      </w:r>
    </w:p>
    <w:p>
      <w:pPr>
        <w:numPr>
          <w:ilvl w:val="0"/>
          <w:numId w:val="0"/>
        </w:numPr>
        <w:spacing w:line="400" w:lineRule="exact"/>
        <w:ind w:leftChars="0" w:firstLine="420" w:firstLineChars="200"/>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sz w:val="21"/>
          <w:szCs w:val="21"/>
          <w:lang w:val="en-US" w:eastAsia="zh-CN"/>
        </w:rPr>
        <w:t xml:space="preserve">   </w:t>
      </w:r>
    </w:p>
    <w:p>
      <w:pPr>
        <w:numPr>
          <w:ilvl w:val="0"/>
          <w:numId w:val="0"/>
        </w:numPr>
        <w:spacing w:line="400" w:lineRule="exact"/>
        <w:ind w:leftChars="0" w:firstLine="420" w:firstLineChars="200"/>
        <w:jc w:val="center"/>
        <w:rPr>
          <w:rFonts w:hint="eastAsia" w:ascii="Times New Roman" w:hAnsi="Times New Roman" w:eastAsia="宋体" w:cs="Times New Roman"/>
          <w:b w:val="0"/>
          <w:bCs w:val="0"/>
          <w:color w:val="auto"/>
          <w:kern w:val="2"/>
          <w:sz w:val="21"/>
          <w:szCs w:val="21"/>
          <w:lang w:val="en-US" w:eastAsia="zh-CN" w:bidi="ar-SA"/>
        </w:rPr>
      </w:pPr>
    </w:p>
    <w:p>
      <w:pPr>
        <w:numPr>
          <w:ilvl w:val="0"/>
          <w:numId w:val="0"/>
        </w:numPr>
        <w:spacing w:line="400" w:lineRule="exact"/>
        <w:ind w:leftChars="0" w:firstLine="420" w:firstLineChars="200"/>
        <w:jc w:val="center"/>
        <w:rPr>
          <w:rFonts w:hint="eastAsia" w:ascii="Times New Roman" w:hAnsi="Times New Roman" w:eastAsia="宋体" w:cs="Times New Roman"/>
          <w:b w:val="0"/>
          <w:bCs w:val="0"/>
          <w:color w:val="auto"/>
          <w:kern w:val="2"/>
          <w:sz w:val="21"/>
          <w:szCs w:val="21"/>
          <w:lang w:val="en-US" w:eastAsia="zh-CN" w:bidi="ar-SA"/>
        </w:rPr>
      </w:pPr>
    </w:p>
    <w:p>
      <w:pPr>
        <w:spacing w:line="240" w:lineRule="auto"/>
        <w:ind w:firstLine="420"/>
        <w:jc w:val="center"/>
        <w:rPr>
          <w:rFonts w:cs="Times New Roman"/>
        </w:rPr>
      </w:pPr>
      <w:r>
        <w:rPr>
          <w:rFonts w:hint="eastAsia" w:cs="Times New Roman"/>
          <w:b w:val="0"/>
          <w:bCs w:val="0"/>
          <w:color w:val="auto"/>
          <w:kern w:val="2"/>
          <w:sz w:val="21"/>
          <w:szCs w:val="21"/>
          <w:lang w:val="en-US" w:eastAsia="zh-CN" w:bidi="ar-SA"/>
        </w:rPr>
        <w:t xml:space="preserve"> </w:t>
      </w:r>
      <w:r>
        <w:rPr>
          <w:rFonts w:hint="eastAsia" w:cs="Times New Roman"/>
        </w:rPr>
        <w:t xml:space="preserve">A </w:t>
      </w:r>
      <w:r>
        <w:rPr>
          <w:rFonts w:cs="Times New Roman"/>
        </w:rPr>
        <w:t xml:space="preserve">Study on </w:t>
      </w:r>
      <w:r>
        <w:rPr>
          <w:rFonts w:hint="eastAsia" w:cs="Times New Roman"/>
        </w:rPr>
        <w:t>E</w:t>
      </w:r>
      <w:r>
        <w:rPr>
          <w:rFonts w:cs="Times New Roman"/>
        </w:rPr>
        <w:t xml:space="preserve">cological </w:t>
      </w:r>
      <w:r>
        <w:rPr>
          <w:rFonts w:hint="eastAsia" w:cs="Times New Roman"/>
        </w:rPr>
        <w:t>E</w:t>
      </w:r>
      <w:r>
        <w:rPr>
          <w:rFonts w:cs="Times New Roman"/>
        </w:rPr>
        <w:t xml:space="preserve">fficiency </w:t>
      </w:r>
      <w:r>
        <w:rPr>
          <w:rFonts w:hint="eastAsia" w:cs="Times New Roman"/>
        </w:rPr>
        <w:t>M</w:t>
      </w:r>
      <w:r>
        <w:rPr>
          <w:rFonts w:cs="Times New Roman"/>
        </w:rPr>
        <w:t>easurement and I</w:t>
      </w:r>
      <w:r>
        <w:rPr>
          <w:rFonts w:hint="eastAsia" w:cs="Times New Roman"/>
        </w:rPr>
        <w:t>mprovement</w:t>
      </w:r>
      <w:r>
        <w:rPr>
          <w:rFonts w:cs="Times New Roman"/>
        </w:rPr>
        <w:t xml:space="preserve"> </w:t>
      </w:r>
      <w:r>
        <w:rPr>
          <w:rFonts w:hint="eastAsia" w:cs="Times New Roman"/>
        </w:rPr>
        <w:t>S</w:t>
      </w:r>
      <w:r>
        <w:rPr>
          <w:rFonts w:cs="Times New Roman"/>
        </w:rPr>
        <w:t>trategy of Beijing-Tianjin-Hebei Region</w:t>
      </w:r>
    </w:p>
    <w:p>
      <w:pPr>
        <w:spacing w:line="240" w:lineRule="auto"/>
        <w:ind w:firstLine="0" w:firstLineChars="0"/>
        <w:jc w:val="center"/>
        <w:rPr>
          <w:rFonts w:cs="Times New Roman"/>
          <w:vertAlign w:val="superscript"/>
        </w:rPr>
      </w:pPr>
      <w:r>
        <w:rPr>
          <w:rFonts w:cs="Times New Roman"/>
        </w:rPr>
        <w:t xml:space="preserve"> </w:t>
      </w:r>
      <w:r>
        <w:rPr>
          <w:rFonts w:hint="eastAsia" w:cs="Times New Roman"/>
        </w:rPr>
        <w:t xml:space="preserve"> </w:t>
      </w:r>
      <w:r>
        <w:rPr>
          <w:rFonts w:cs="Times New Roman"/>
        </w:rPr>
        <w:t>L</w:t>
      </w:r>
      <w:r>
        <w:rPr>
          <w:rFonts w:hint="eastAsia" w:cs="Times New Roman"/>
        </w:rPr>
        <w:t>IANG</w:t>
      </w:r>
      <w:r>
        <w:rPr>
          <w:rFonts w:cs="Times New Roman"/>
        </w:rPr>
        <w:t xml:space="preserve"> </w:t>
      </w:r>
      <w:r>
        <w:rPr>
          <w:rFonts w:hint="eastAsia" w:cs="Times New Roman"/>
        </w:rPr>
        <w:t>Y</w:t>
      </w:r>
      <w:r>
        <w:rPr>
          <w:rFonts w:cs="Times New Roman"/>
        </w:rPr>
        <w:t>ican, S</w:t>
      </w:r>
      <w:r>
        <w:rPr>
          <w:rFonts w:hint="eastAsia" w:cs="Times New Roman"/>
        </w:rPr>
        <w:t>UN</w:t>
      </w:r>
      <w:r>
        <w:rPr>
          <w:rFonts w:cs="Times New Roman"/>
        </w:rPr>
        <w:t xml:space="preserve"> </w:t>
      </w:r>
      <w:r>
        <w:rPr>
          <w:rFonts w:hint="eastAsia" w:cs="Times New Roman"/>
        </w:rPr>
        <w:t>Y</w:t>
      </w:r>
      <w:r>
        <w:rPr>
          <w:rFonts w:cs="Times New Roman"/>
        </w:rPr>
        <w:t>u,</w:t>
      </w:r>
      <w:r>
        <w:rPr>
          <w:rFonts w:hint="eastAsia" w:cs="Times New Roman"/>
          <w:vertAlign w:val="superscript"/>
        </w:rPr>
        <w:t xml:space="preserve"> </w:t>
      </w:r>
      <w:r>
        <w:rPr>
          <w:rFonts w:hint="eastAsia" w:cs="Times New Roman"/>
        </w:rPr>
        <w:t>JIANG Junjie</w:t>
      </w:r>
    </w:p>
    <w:p>
      <w:pPr>
        <w:spacing w:line="240" w:lineRule="auto"/>
        <w:ind w:firstLine="0" w:firstLineChars="0"/>
        <w:jc w:val="center"/>
        <w:rPr>
          <w:rFonts w:cs="Times New Roman"/>
        </w:rPr>
      </w:pPr>
      <w:r>
        <w:rPr>
          <w:rFonts w:hint="eastAsia" w:cs="Times New Roman"/>
        </w:rPr>
        <w:t>(School of Public Management</w:t>
      </w:r>
      <w:r>
        <w:rPr>
          <w:rFonts w:cs="Times New Roman"/>
        </w:rPr>
        <w:t xml:space="preserve">, </w:t>
      </w:r>
      <w:r>
        <w:rPr>
          <w:rFonts w:hint="eastAsia" w:cs="Times New Roman"/>
        </w:rPr>
        <w:t>Tianjin University of Commerce, Tianjin 300134,</w:t>
      </w:r>
      <w:r>
        <w:rPr>
          <w:rFonts w:cs="Times New Roman"/>
        </w:rPr>
        <w:t xml:space="preserve"> </w:t>
      </w:r>
      <w:r>
        <w:rPr>
          <w:rFonts w:hint="eastAsia" w:cs="Times New Roman"/>
        </w:rPr>
        <w:t>China; School of Management and Economics,</w:t>
      </w:r>
      <w:r>
        <w:rPr>
          <w:rFonts w:cs="Times New Roman"/>
        </w:rPr>
        <w:t xml:space="preserve"> </w:t>
      </w:r>
      <w:r>
        <w:rPr>
          <w:rFonts w:hint="eastAsia" w:cs="Times New Roman"/>
        </w:rPr>
        <w:t>Tianjin University,</w:t>
      </w:r>
      <w:r>
        <w:rPr>
          <w:rFonts w:cs="Times New Roman"/>
        </w:rPr>
        <w:t xml:space="preserve"> </w:t>
      </w:r>
      <w:r>
        <w:rPr>
          <w:rFonts w:hint="eastAsia" w:cs="Times New Roman"/>
        </w:rPr>
        <w:t>Tianjin 300072,</w:t>
      </w:r>
      <w:r>
        <w:rPr>
          <w:rFonts w:cs="Times New Roman"/>
        </w:rPr>
        <w:t xml:space="preserve"> </w:t>
      </w:r>
      <w:r>
        <w:rPr>
          <w:rFonts w:hint="eastAsia" w:cs="Times New Roman"/>
        </w:rPr>
        <w:t>China</w:t>
      </w:r>
      <w:r>
        <w:rPr>
          <w:rFonts w:cs="Times New Roman"/>
        </w:rPr>
        <w:t>)</w:t>
      </w:r>
    </w:p>
    <w:p>
      <w:pPr>
        <w:spacing w:line="240" w:lineRule="auto"/>
        <w:ind w:firstLine="420"/>
        <w:jc w:val="center"/>
        <w:rPr>
          <w:rFonts w:cs="Times New Roman"/>
        </w:rPr>
      </w:pPr>
    </w:p>
    <w:p>
      <w:pPr>
        <w:spacing w:line="240" w:lineRule="auto"/>
        <w:ind w:firstLine="422"/>
        <w:rPr>
          <w:rFonts w:cs="Times New Roman"/>
        </w:rPr>
      </w:pPr>
      <w:r>
        <w:rPr>
          <w:rFonts w:cs="Times New Roman"/>
          <w:b/>
          <w:bCs/>
        </w:rPr>
        <w:t>Abstract:</w:t>
      </w:r>
      <w:r>
        <w:rPr>
          <w:rFonts w:hint="eastAsia" w:cs="Times New Roman"/>
          <w:b/>
          <w:bCs/>
        </w:rPr>
        <w:t xml:space="preserve"> </w:t>
      </w:r>
      <w:r>
        <w:rPr>
          <w:rFonts w:hint="eastAsia" w:cs="Times New Roman"/>
        </w:rPr>
        <w:t>Based on the panel data of 13 cities in Beijing</w:t>
      </w:r>
      <w:r>
        <w:rPr>
          <w:rFonts w:cs="Times New Roman"/>
        </w:rPr>
        <w:t>-</w:t>
      </w:r>
      <w:r>
        <w:rPr>
          <w:rFonts w:hint="eastAsia" w:cs="Times New Roman"/>
        </w:rPr>
        <w:t>Tianjin</w:t>
      </w:r>
      <w:r>
        <w:rPr>
          <w:rFonts w:cs="Times New Roman"/>
        </w:rPr>
        <w:t>-</w:t>
      </w:r>
      <w:r>
        <w:rPr>
          <w:rFonts w:hint="eastAsia" w:cs="Times New Roman"/>
        </w:rPr>
        <w:t>Hebei</w:t>
      </w:r>
      <w:r>
        <w:rPr>
          <w:rFonts w:cs="Times New Roman"/>
        </w:rPr>
        <w:t xml:space="preserve"> region</w:t>
      </w:r>
      <w:r>
        <w:rPr>
          <w:rFonts w:hint="eastAsia" w:cs="Times New Roman"/>
        </w:rPr>
        <w:t xml:space="preserve"> from 2009 to 2019,</w:t>
      </w:r>
      <w:r>
        <w:rPr>
          <w:rFonts w:cs="Times New Roman"/>
        </w:rPr>
        <w:t xml:space="preserve"> a</w:t>
      </w:r>
      <w:r>
        <w:rPr>
          <w:rFonts w:hint="eastAsia" w:cs="Times New Roman"/>
        </w:rPr>
        <w:t xml:space="preserve"> super</w:t>
      </w:r>
      <w:r>
        <w:rPr>
          <w:rFonts w:cs="Times New Roman"/>
        </w:rPr>
        <w:t>-</w:t>
      </w:r>
      <w:r>
        <w:rPr>
          <w:rFonts w:hint="eastAsia" w:cs="Times New Roman"/>
        </w:rPr>
        <w:t xml:space="preserve">efficiency SBM model is constructed to measure </w:t>
      </w:r>
      <w:r>
        <w:rPr>
          <w:rFonts w:cs="Times New Roman"/>
        </w:rPr>
        <w:t>its</w:t>
      </w:r>
      <w:r>
        <w:rPr>
          <w:rFonts w:hint="eastAsia" w:cs="Times New Roman"/>
        </w:rPr>
        <w:t xml:space="preserve"> ecological efficiency.</w:t>
      </w:r>
      <w:r>
        <w:rPr>
          <w:rFonts w:cs="Times New Roman"/>
        </w:rPr>
        <w:t xml:space="preserve"> </w:t>
      </w:r>
      <w:r>
        <w:rPr>
          <w:rFonts w:hint="eastAsia" w:cs="Times New Roman"/>
        </w:rPr>
        <w:t>On this basis,</w:t>
      </w:r>
      <w:r>
        <w:rPr>
          <w:rFonts w:cs="Times New Roman"/>
        </w:rPr>
        <w:t xml:space="preserve"> </w:t>
      </w:r>
      <w:r>
        <w:rPr>
          <w:rFonts w:hint="eastAsia" w:cs="Times New Roman"/>
        </w:rPr>
        <w:t xml:space="preserve">the internal growth potential and external influencing factors of </w:t>
      </w:r>
      <w:r>
        <w:rPr>
          <w:rFonts w:cs="Times New Roman"/>
        </w:rPr>
        <w:t>its</w:t>
      </w:r>
      <w:r>
        <w:rPr>
          <w:rFonts w:hint="eastAsia" w:cs="Times New Roman"/>
        </w:rPr>
        <w:t xml:space="preserve"> ecological efficiency are explored by means of inefficiency decomposition and system generalized moment estimation.</w:t>
      </w:r>
      <w:r>
        <w:rPr>
          <w:rFonts w:cs="Times New Roman"/>
        </w:rPr>
        <w:t xml:space="preserve"> The results show that: (1)during the sample period, the overall ecological efficiency of Beijing-Tianjin-Hebei region is generally average, and there is a trend to continue to decline, which needs to be further improved and stabilized; (2)the main reason for hindering the progress of ecological efficiency is unexpected output redundancy, and there is a great potential to improve the ecological efficiency through energy conservation and emission reduction; (3)economic development, industrial structure, urbanization, scientific and technological progress and other factors have different directions and degrees of influence on its ecological efficiency. Finally, on the basis of analysis, research and judgement, the paper gives specific strategies and suggestions for joint prevention and control, energy conservation and emission reduction and technological innovation of Beijing-Tianjin-Hebei region .</w:t>
      </w:r>
    </w:p>
    <w:p>
      <w:pPr>
        <w:ind w:firstLine="0" w:firstLineChars="0"/>
        <w:jc w:val="left"/>
        <w:rPr>
          <w:rFonts w:ascii="宋体" w:hAnsi="宋体"/>
          <w:b/>
          <w:bCs/>
          <w:color w:val="000000" w:themeColor="text1"/>
          <w:kern w:val="44"/>
          <w14:textFill>
            <w14:solidFill>
              <w14:schemeClr w14:val="tx1"/>
            </w14:solidFill>
          </w14:textFill>
        </w:rPr>
      </w:pPr>
      <w:r>
        <w:rPr>
          <w:rFonts w:cs="Times New Roman"/>
          <w:b/>
          <w:bCs/>
        </w:rPr>
        <w:t>Key words:</w:t>
      </w:r>
      <w:r>
        <w:rPr>
          <w:rFonts w:hint="eastAsia" w:cs="Times New Roman"/>
          <w:b/>
          <w:bCs/>
        </w:rPr>
        <w:t xml:space="preserve"> </w:t>
      </w:r>
      <w:r>
        <w:rPr>
          <w:rFonts w:cs="Times New Roman"/>
        </w:rPr>
        <w:t>ecological efficiency</w:t>
      </w:r>
      <w:r>
        <w:rPr>
          <w:rFonts w:hint="eastAsia" w:cs="Times New Roman"/>
        </w:rPr>
        <w:t>;</w:t>
      </w:r>
      <w:r>
        <w:rPr>
          <w:rFonts w:cs="Times New Roman"/>
        </w:rPr>
        <w:t xml:space="preserve"> super-efficiency SBM model</w:t>
      </w:r>
      <w:r>
        <w:rPr>
          <w:rFonts w:hint="eastAsia" w:cs="Times New Roman"/>
        </w:rPr>
        <w:t>;</w:t>
      </w:r>
      <w:r>
        <w:rPr>
          <w:rFonts w:cs="Times New Roman"/>
        </w:rPr>
        <w:t xml:space="preserve"> inefficiency decomposition</w:t>
      </w:r>
      <w:r>
        <w:rPr>
          <w:rFonts w:hint="eastAsia" w:cs="Times New Roman"/>
        </w:rPr>
        <w:t>;</w:t>
      </w:r>
      <w:r>
        <w:rPr>
          <w:rFonts w:cs="Times New Roman"/>
        </w:rPr>
        <w:t xml:space="preserve"> influencing factors</w:t>
      </w:r>
      <w:r>
        <w:rPr>
          <w:rFonts w:hint="eastAsia" w:cs="Times New Roman"/>
        </w:rPr>
        <w:t>;</w:t>
      </w:r>
      <w:r>
        <w:rPr>
          <w:rFonts w:cs="Times New Roman"/>
        </w:rPr>
        <w:t xml:space="preserve"> Beijing-Tianjin-Hebei</w:t>
      </w:r>
      <w:r>
        <w:rPr>
          <w:rFonts w:hint="eastAsia" w:cs="Times New Roman"/>
        </w:rPr>
        <w:t xml:space="preserve"> region</w:t>
      </w:r>
    </w:p>
    <w:p>
      <w:pPr>
        <w:pStyle w:val="6"/>
        <w:ind w:firstLine="0" w:firstLineChars="0"/>
        <w:rPr>
          <w:rFonts w:cs="Times New Roman"/>
        </w:rPr>
      </w:pPr>
    </w:p>
    <w:p>
      <w:pPr>
        <w:ind w:firstLine="0" w:firstLineChars="0"/>
        <w:rPr>
          <w:rFonts w:hint="eastAsia" w:ascii="黑体" w:hAnsi="黑体" w:eastAsia="黑体" w:cs="Times New Roman"/>
          <w:color w:val="000000" w:themeColor="text1"/>
          <w:kern w:val="44"/>
          <w:sz w:val="28"/>
          <w:szCs w:val="48"/>
          <w:lang w:eastAsia="zh-CN"/>
          <w14:textFill>
            <w14:solidFill>
              <w14:schemeClr w14:val="tx1"/>
            </w14:solidFill>
          </w14:textFill>
        </w:rPr>
      </w:pPr>
      <w:r>
        <w:rPr>
          <w:rFonts w:hint="eastAsia" w:ascii="黑体" w:hAnsi="黑体" w:eastAsia="黑体" w:cs="Times New Roman"/>
          <w:color w:val="000000" w:themeColor="text1"/>
          <w:kern w:val="44"/>
          <w:sz w:val="28"/>
          <w:szCs w:val="48"/>
          <w:lang w:eastAsia="zh-CN"/>
          <w14:textFill>
            <w14:solidFill>
              <w14:schemeClr w14:val="tx1"/>
            </w14:solidFill>
          </w14:textFill>
        </w:rPr>
        <w:t>（</w:t>
      </w:r>
      <w:r>
        <w:rPr>
          <w:rFonts w:hint="eastAsia" w:ascii="黑体" w:hAnsi="黑体" w:eastAsia="黑体" w:cs="Times New Roman"/>
          <w:color w:val="000000" w:themeColor="text1"/>
          <w:kern w:val="44"/>
          <w:sz w:val="28"/>
          <w:szCs w:val="48"/>
          <w:lang w:val="en-US" w:eastAsia="zh-CN"/>
          <w14:textFill>
            <w14:solidFill>
              <w14:schemeClr w14:val="tx1"/>
            </w14:solidFill>
          </w14:textFill>
        </w:rPr>
        <w:t>责任编辑：胡睿</w:t>
      </w:r>
      <w:bookmarkStart w:id="6" w:name="_GoBack"/>
      <w:bookmarkEnd w:id="6"/>
      <w:r>
        <w:rPr>
          <w:rFonts w:hint="eastAsia" w:ascii="黑体" w:hAnsi="黑体" w:eastAsia="黑体" w:cs="Times New Roman"/>
          <w:color w:val="000000" w:themeColor="text1"/>
          <w:kern w:val="44"/>
          <w:sz w:val="28"/>
          <w:szCs w:val="48"/>
          <w:lang w:eastAsia="zh-CN"/>
          <w14:textFill>
            <w14:solidFill>
              <w14:schemeClr w14:val="tx1"/>
            </w14:solidFill>
          </w14:textFill>
        </w:rPr>
        <w:t>）</w:t>
      </w:r>
    </w:p>
    <w:p>
      <w:pPr>
        <w:widowControl w:val="0"/>
        <w:numPr>
          <w:ilvl w:val="0"/>
          <w:numId w:val="0"/>
        </w:numPr>
        <w:bidi w:val="0"/>
        <w:spacing w:line="400" w:lineRule="exact"/>
        <w:jc w:val="both"/>
        <w:rPr>
          <w:rFonts w:hint="default" w:ascii="黑体" w:hAnsi="黑体" w:eastAsia="黑体" w:cs="Times New Roman"/>
          <w:color w:val="000000" w:themeColor="text1"/>
          <w:kern w:val="44"/>
          <w:sz w:val="28"/>
          <w:szCs w:val="48"/>
          <w:lang w:val="en-US" w:eastAsia="zh-CN" w:bidi="ar-SA"/>
          <w14:textFill>
            <w14:solidFill>
              <w14:schemeClr w14:val="tx1"/>
            </w14:solidFill>
          </w14:textFill>
        </w:rPr>
      </w:pPr>
    </w:p>
    <w:sectPr>
      <w:footerReference r:id="rId5" w:type="default"/>
      <w:endnotePr>
        <w:numFmt w:val="decimalEnclosedCircleChinese"/>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20"/>
      </w:pPr>
      <w:r>
        <w:separator/>
      </w:r>
    </w:p>
  </w:footnote>
  <w:footnote w:type="continuationSeparator" w:id="3">
    <w:p>
      <w:pPr>
        <w:spacing w:line="240" w:lineRule="auto"/>
        <w:ind w:firstLine="420"/>
      </w:pPr>
      <w:r>
        <w:continuationSeparator/>
      </w:r>
    </w:p>
  </w:footnote>
  <w:footnote w:id="0">
    <w:p>
      <w:pPr>
        <w:pStyle w:val="9"/>
        <w:keepNext w:val="0"/>
        <w:keepLines w:val="0"/>
        <w:pageBreakBefore w:val="0"/>
        <w:widowControl w:val="0"/>
        <w:kinsoku/>
        <w:wordWrap/>
        <w:overflowPunct/>
        <w:topLinePunct w:val="0"/>
        <w:autoSpaceDE/>
        <w:autoSpaceDN/>
        <w:bidi w:val="0"/>
        <w:adjustRightInd/>
        <w:spacing w:line="240" w:lineRule="auto"/>
        <w:jc w:val="left"/>
        <w:textAlignment w:val="auto"/>
        <w:rPr>
          <w:rStyle w:val="19"/>
          <w:rFonts w:hint="default" w:ascii="宋体" w:hAnsi="宋体" w:eastAsia="宋体" w:cs="宋体"/>
          <w:b w:val="0"/>
          <w:bCs w:val="0"/>
          <w:sz w:val="18"/>
          <w:szCs w:val="18"/>
          <w:lang w:val="en-US" w:eastAsia="zh-CN"/>
        </w:rPr>
      </w:pPr>
      <w:r>
        <w:rPr>
          <w:rStyle w:val="19"/>
          <w:rFonts w:hint="eastAsia" w:ascii="宋体" w:hAnsi="宋体" w:eastAsia="宋体" w:cs="宋体"/>
          <w:b w:val="0"/>
          <w:bCs w:val="0"/>
        </w:rPr>
        <w:footnoteRef/>
      </w:r>
      <w:r>
        <w:rPr>
          <w:rFonts w:hint="eastAsia" w:ascii="宋体" w:hAnsi="宋体" w:eastAsia="宋体" w:cs="宋体"/>
          <w:b w:val="0"/>
          <w:bCs w:val="0"/>
        </w:rPr>
        <w:t xml:space="preserve"> </w:t>
      </w:r>
      <w:r>
        <w:rPr>
          <w:rFonts w:hint="eastAsia" w:ascii="宋体" w:hAnsi="宋体" w:eastAsia="宋体" w:cs="宋体"/>
          <w:b w:val="0"/>
          <w:bCs w:val="0"/>
          <w:sz w:val="18"/>
          <w:szCs w:val="18"/>
        </w:rPr>
        <w:t>收稿日期：</w:t>
      </w:r>
      <w:r>
        <w:rPr>
          <w:rFonts w:hint="eastAsia" w:ascii="宋体" w:hAnsi="宋体" w:cs="宋体"/>
          <w:b w:val="0"/>
          <w:bCs w:val="0"/>
          <w:sz w:val="18"/>
          <w:szCs w:val="18"/>
          <w:lang w:val="en-US" w:eastAsia="zh-CN"/>
        </w:rPr>
        <w:t>2020年12月28日</w:t>
      </w:r>
    </w:p>
    <w:p>
      <w:pPr>
        <w:pStyle w:val="9"/>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b w:val="0"/>
          <w:bCs w:val="0"/>
          <w:sz w:val="18"/>
          <w:szCs w:val="18"/>
          <w:lang w:val="en-US" w:eastAsia="zh-CN"/>
        </w:rPr>
      </w:pPr>
      <w:r>
        <w:rPr>
          <w:rFonts w:hint="eastAsia" w:ascii="宋体" w:hAnsi="宋体" w:eastAsia="宋体" w:cs="宋体"/>
          <w:b w:val="0"/>
          <w:bCs w:val="0"/>
          <w:sz w:val="18"/>
          <w:szCs w:val="18"/>
        </w:rPr>
        <w:t>作者简介：</w:t>
      </w:r>
      <w:r>
        <w:rPr>
          <w:rStyle w:val="17"/>
          <w:rFonts w:hint="eastAsia" w:ascii="宋体" w:hAnsi="宋体" w:eastAsia="宋体" w:cs="宋体"/>
          <w:b w:val="0"/>
          <w:bCs w:val="0"/>
          <w:color w:val="auto"/>
          <w:sz w:val="18"/>
          <w:szCs w:val="18"/>
          <w:u w:val="none"/>
          <w:lang w:val="en-US" w:eastAsia="zh-CN"/>
        </w:rPr>
        <w:t>梁一灿（1998</w:t>
      </w:r>
      <w:r>
        <w:rPr>
          <w:rStyle w:val="17"/>
          <w:rFonts w:hint="eastAsia" w:ascii="宋体" w:hAnsi="宋体" w:cs="宋体"/>
          <w:b w:val="0"/>
          <w:bCs w:val="0"/>
          <w:color w:val="auto"/>
          <w:sz w:val="18"/>
          <w:szCs w:val="18"/>
          <w:u w:val="none"/>
          <w:lang w:val="en-US" w:eastAsia="zh-CN"/>
        </w:rPr>
        <w:t>—</w:t>
      </w:r>
      <w:r>
        <w:rPr>
          <w:rStyle w:val="17"/>
          <w:rFonts w:hint="eastAsia" w:ascii="宋体" w:hAnsi="宋体" w:eastAsia="宋体" w:cs="宋体"/>
          <w:b w:val="0"/>
          <w:bCs w:val="0"/>
          <w:color w:val="auto"/>
          <w:sz w:val="18"/>
          <w:szCs w:val="18"/>
          <w:u w:val="none"/>
          <w:lang w:val="en-US" w:eastAsia="zh-CN"/>
        </w:rPr>
        <w:t>），女，河北石家庄人，</w:t>
      </w:r>
      <w:r>
        <w:rPr>
          <w:rFonts w:hint="eastAsia" w:ascii="宋体" w:hAnsi="宋体" w:eastAsia="宋体" w:cs="宋体"/>
          <w:b w:val="0"/>
          <w:bCs w:val="0"/>
          <w:sz w:val="18"/>
          <w:szCs w:val="18"/>
          <w:lang w:val="en-US" w:eastAsia="zh-CN"/>
        </w:rPr>
        <w:t>硕士，主要研究方向</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val="en-US" w:eastAsia="zh-CN"/>
        </w:rPr>
        <w:t>公用事业与公共设施管理</w:t>
      </w:r>
      <w:r>
        <w:rPr>
          <w:rFonts w:hint="eastAsia" w:ascii="宋体" w:hAnsi="宋体" w:cs="宋体"/>
          <w:b w:val="0"/>
          <w:bCs w:val="0"/>
          <w:sz w:val="18"/>
          <w:szCs w:val="18"/>
          <w:lang w:val="en-US" w:eastAsia="zh-CN"/>
        </w:rPr>
        <w:t xml:space="preserve">。        </w:t>
      </w:r>
    </w:p>
    <w:p>
      <w:pPr>
        <w:pStyle w:val="9"/>
        <w:keepNext w:val="0"/>
        <w:keepLines w:val="0"/>
        <w:pageBreakBefore w:val="0"/>
        <w:widowControl w:val="0"/>
        <w:kinsoku/>
        <w:wordWrap/>
        <w:overflowPunct/>
        <w:topLinePunct w:val="0"/>
        <w:autoSpaceDE/>
        <w:autoSpaceDN/>
        <w:bidi w:val="0"/>
        <w:adjustRightInd/>
        <w:spacing w:line="240" w:lineRule="auto"/>
        <w:ind w:firstLine="900" w:firstLineChars="500"/>
        <w:jc w:val="left"/>
        <w:textAlignment w:val="auto"/>
        <w:rPr>
          <w:rFonts w:hint="eastAsia" w:ascii="宋体" w:hAnsi="宋体" w:eastAsia="宋体" w:cs="宋体"/>
          <w:b w:val="0"/>
          <w:bCs w:val="0"/>
          <w:color w:val="auto"/>
          <w:sz w:val="18"/>
          <w:szCs w:val="18"/>
          <w:u w:val="none"/>
          <w:lang w:val="en-US" w:eastAsia="zh-CN"/>
        </w:rPr>
      </w:pPr>
      <w:r>
        <w:rPr>
          <w:rFonts w:hint="eastAsia" w:ascii="宋体" w:hAnsi="宋体" w:eastAsia="宋体" w:cs="宋体"/>
          <w:b w:val="0"/>
          <w:bCs w:val="0"/>
          <w:sz w:val="18"/>
          <w:szCs w:val="18"/>
        </w:rPr>
        <w:t>孙</w:t>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rPr>
        <w:t>钰</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1965</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女，天津市人，博士，</w:t>
      </w:r>
      <w:r>
        <w:rPr>
          <w:rFonts w:hint="eastAsia" w:ascii="宋体" w:hAnsi="宋体" w:eastAsia="宋体" w:cs="宋体"/>
          <w:b w:val="0"/>
          <w:bCs w:val="0"/>
          <w:sz w:val="18"/>
          <w:szCs w:val="18"/>
        </w:rPr>
        <w:t>教授，</w:t>
      </w:r>
      <w:r>
        <w:rPr>
          <w:rFonts w:hint="eastAsia" w:ascii="宋体" w:hAnsi="宋体" w:eastAsia="宋体" w:cs="宋体"/>
          <w:b w:val="0"/>
          <w:bCs w:val="0"/>
          <w:sz w:val="18"/>
          <w:szCs w:val="18"/>
          <w:lang w:val="en-US" w:eastAsia="zh-CN"/>
        </w:rPr>
        <w:t>博导</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主要</w:t>
      </w:r>
      <w:r>
        <w:rPr>
          <w:rFonts w:hint="eastAsia" w:ascii="宋体" w:hAnsi="宋体" w:eastAsia="宋体" w:cs="宋体"/>
          <w:b w:val="0"/>
          <w:bCs w:val="0"/>
          <w:sz w:val="18"/>
          <w:szCs w:val="18"/>
        </w:rPr>
        <w:t>研究方向</w:t>
      </w:r>
      <w:r>
        <w:rPr>
          <w:rFonts w:hint="eastAsia" w:ascii="宋体" w:hAnsi="宋体" w:cs="宋体"/>
          <w:b w:val="0"/>
          <w:bCs w:val="0"/>
          <w:sz w:val="18"/>
          <w:szCs w:val="18"/>
          <w:lang w:eastAsia="zh-CN"/>
        </w:rPr>
        <w:t>：</w:t>
      </w:r>
      <w:r>
        <w:rPr>
          <w:rFonts w:hint="eastAsia" w:ascii="宋体" w:hAnsi="宋体" w:eastAsia="宋体" w:cs="宋体"/>
          <w:b w:val="0"/>
          <w:bCs w:val="0"/>
          <w:sz w:val="18"/>
          <w:szCs w:val="18"/>
        </w:rPr>
        <w:t>区域公共产品与公共服务配置</w:t>
      </w:r>
      <w:r>
        <w:rPr>
          <w:rFonts w:hint="eastAsia" w:ascii="宋体" w:hAnsi="宋体" w:eastAsia="宋体" w:cs="宋体"/>
          <w:b w:val="0"/>
          <w:bCs w:val="0"/>
          <w:color w:val="auto"/>
          <w:sz w:val="18"/>
          <w:szCs w:val="18"/>
          <w:u w:val="none"/>
          <w:lang w:val="en-US" w:eastAsia="zh-CN"/>
        </w:rPr>
        <w:t>。</w:t>
      </w:r>
    </w:p>
    <w:p>
      <w:pPr>
        <w:pStyle w:val="9"/>
        <w:snapToGrid w:val="0"/>
        <w:rPr>
          <w:rFonts w:hint="eastAsia" w:ascii="宋体" w:hAnsi="宋体" w:eastAsia="宋体" w:cs="宋体"/>
          <w:b w:val="0"/>
          <w:bCs w:val="0"/>
        </w:rPr>
      </w:pPr>
      <w:r>
        <w:rPr>
          <w:rFonts w:hint="eastAsia" w:ascii="宋体" w:hAnsi="宋体" w:eastAsia="宋体" w:cs="宋体"/>
          <w:b w:val="0"/>
          <w:bCs w:val="0"/>
          <w:sz w:val="18"/>
          <w:szCs w:val="18"/>
        </w:rPr>
        <w:t>基金项目：国家自然科学基金资助项目“城市公共基础设施利用效益研究”（NSF 71273186）；天津市哲学社会科学规划资助重点项目“京津冀生态文明与城市化耦合协调发展的时空演进研究”（TJYY19XSX-018）。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D013E"/>
    <w:multiLevelType w:val="singleLevel"/>
    <w:tmpl w:val="4FFD013E"/>
    <w:lvl w:ilvl="0" w:tentative="0">
      <w:start w:val="1"/>
      <w:numFmt w:val="decimalEnclosedCircleChinese"/>
      <w:suff w:val="nothing"/>
      <w:lvlText w:val="%1　"/>
      <w:lvlJc w:val="left"/>
      <w:pPr>
        <w:ind w:left="0" w:firstLine="403"/>
      </w:pPr>
      <w:rPr>
        <w:rFonts w:hint="eastAsia" w:ascii="宋体" w:hAnsi="宋体" w:cs="宋体"/>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pos w:val="sectEnd"/>
    <w:numFmt w:val="decimalEnclosedCircleChinese"/>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236C3"/>
    <w:rsid w:val="00D472E3"/>
    <w:rsid w:val="01242938"/>
    <w:rsid w:val="0175101F"/>
    <w:rsid w:val="019B5679"/>
    <w:rsid w:val="01B42E08"/>
    <w:rsid w:val="022B57D6"/>
    <w:rsid w:val="025C52D8"/>
    <w:rsid w:val="029574B3"/>
    <w:rsid w:val="029A6051"/>
    <w:rsid w:val="02C74C71"/>
    <w:rsid w:val="02FE4C05"/>
    <w:rsid w:val="030215C2"/>
    <w:rsid w:val="0327027B"/>
    <w:rsid w:val="03282BF4"/>
    <w:rsid w:val="03ED5315"/>
    <w:rsid w:val="045639BE"/>
    <w:rsid w:val="04D21E82"/>
    <w:rsid w:val="04E041E4"/>
    <w:rsid w:val="04E849D1"/>
    <w:rsid w:val="05572E70"/>
    <w:rsid w:val="06D77E58"/>
    <w:rsid w:val="0770111E"/>
    <w:rsid w:val="07DA28B4"/>
    <w:rsid w:val="091B4957"/>
    <w:rsid w:val="09A041CF"/>
    <w:rsid w:val="09DD7D0E"/>
    <w:rsid w:val="09DE4E30"/>
    <w:rsid w:val="0A0F6E6F"/>
    <w:rsid w:val="0A6F00B1"/>
    <w:rsid w:val="0A6F57E6"/>
    <w:rsid w:val="0B05106D"/>
    <w:rsid w:val="0B277CE7"/>
    <w:rsid w:val="0B375B7F"/>
    <w:rsid w:val="0B596BD1"/>
    <w:rsid w:val="0BB43DAA"/>
    <w:rsid w:val="0CB60126"/>
    <w:rsid w:val="0EF32E94"/>
    <w:rsid w:val="0F382F74"/>
    <w:rsid w:val="103B4305"/>
    <w:rsid w:val="107F693C"/>
    <w:rsid w:val="10CB79C7"/>
    <w:rsid w:val="10F359FB"/>
    <w:rsid w:val="111C2C05"/>
    <w:rsid w:val="118C6212"/>
    <w:rsid w:val="122D2F50"/>
    <w:rsid w:val="1263758B"/>
    <w:rsid w:val="129428CA"/>
    <w:rsid w:val="12E82047"/>
    <w:rsid w:val="12FE5016"/>
    <w:rsid w:val="13277BC4"/>
    <w:rsid w:val="13651C12"/>
    <w:rsid w:val="13696801"/>
    <w:rsid w:val="13EF58FF"/>
    <w:rsid w:val="145F2389"/>
    <w:rsid w:val="14ED0968"/>
    <w:rsid w:val="15015194"/>
    <w:rsid w:val="150877B7"/>
    <w:rsid w:val="15427D52"/>
    <w:rsid w:val="156076DC"/>
    <w:rsid w:val="15BE1CC8"/>
    <w:rsid w:val="168D74DA"/>
    <w:rsid w:val="17DB79D6"/>
    <w:rsid w:val="18885EB5"/>
    <w:rsid w:val="193E798A"/>
    <w:rsid w:val="194D5C79"/>
    <w:rsid w:val="1AE75516"/>
    <w:rsid w:val="1AE96835"/>
    <w:rsid w:val="1B2D169B"/>
    <w:rsid w:val="1B58691F"/>
    <w:rsid w:val="1B6B4093"/>
    <w:rsid w:val="1B7A6C54"/>
    <w:rsid w:val="1BBC6961"/>
    <w:rsid w:val="1C1E4714"/>
    <w:rsid w:val="1C2E5DC9"/>
    <w:rsid w:val="1CD03735"/>
    <w:rsid w:val="1CEF7A3A"/>
    <w:rsid w:val="1CF43D15"/>
    <w:rsid w:val="1D571BFA"/>
    <w:rsid w:val="1D6D549D"/>
    <w:rsid w:val="1D6E009F"/>
    <w:rsid w:val="1DDC695D"/>
    <w:rsid w:val="1E0B1DEA"/>
    <w:rsid w:val="1E284271"/>
    <w:rsid w:val="1F4E0F81"/>
    <w:rsid w:val="1FFB5A51"/>
    <w:rsid w:val="20196B5D"/>
    <w:rsid w:val="206D0175"/>
    <w:rsid w:val="207169E7"/>
    <w:rsid w:val="20B47630"/>
    <w:rsid w:val="20C03DE3"/>
    <w:rsid w:val="214642B0"/>
    <w:rsid w:val="214B7F32"/>
    <w:rsid w:val="21975A27"/>
    <w:rsid w:val="222903F7"/>
    <w:rsid w:val="224A4B24"/>
    <w:rsid w:val="226F612A"/>
    <w:rsid w:val="23511AC5"/>
    <w:rsid w:val="237628AE"/>
    <w:rsid w:val="23B85696"/>
    <w:rsid w:val="24117314"/>
    <w:rsid w:val="24906213"/>
    <w:rsid w:val="25340B20"/>
    <w:rsid w:val="25903AE1"/>
    <w:rsid w:val="25A478B1"/>
    <w:rsid w:val="25CF46BC"/>
    <w:rsid w:val="260F00BC"/>
    <w:rsid w:val="26F257E0"/>
    <w:rsid w:val="27537B62"/>
    <w:rsid w:val="283723A3"/>
    <w:rsid w:val="283D238B"/>
    <w:rsid w:val="28BD0E02"/>
    <w:rsid w:val="29083510"/>
    <w:rsid w:val="2A1D5BF8"/>
    <w:rsid w:val="2A3823C7"/>
    <w:rsid w:val="2A5722B4"/>
    <w:rsid w:val="2A705BBC"/>
    <w:rsid w:val="2AA318F2"/>
    <w:rsid w:val="2ACE7C09"/>
    <w:rsid w:val="2AD91D8C"/>
    <w:rsid w:val="2AEE6B20"/>
    <w:rsid w:val="2B8332D8"/>
    <w:rsid w:val="2B916CD1"/>
    <w:rsid w:val="2BEA1542"/>
    <w:rsid w:val="2C0B33C2"/>
    <w:rsid w:val="2C481DED"/>
    <w:rsid w:val="2C546EF0"/>
    <w:rsid w:val="2C915716"/>
    <w:rsid w:val="2CEA603B"/>
    <w:rsid w:val="2DDE21BB"/>
    <w:rsid w:val="2DE937F7"/>
    <w:rsid w:val="2E0C5256"/>
    <w:rsid w:val="2E263722"/>
    <w:rsid w:val="2FBA676C"/>
    <w:rsid w:val="313D1AEA"/>
    <w:rsid w:val="314218C2"/>
    <w:rsid w:val="316A6BB0"/>
    <w:rsid w:val="31F129BE"/>
    <w:rsid w:val="32B5463F"/>
    <w:rsid w:val="33BE5242"/>
    <w:rsid w:val="33D361DB"/>
    <w:rsid w:val="33DB1B51"/>
    <w:rsid w:val="34070402"/>
    <w:rsid w:val="346C5674"/>
    <w:rsid w:val="349B202E"/>
    <w:rsid w:val="35060BE5"/>
    <w:rsid w:val="356D63D5"/>
    <w:rsid w:val="35A9416C"/>
    <w:rsid w:val="35DA2EA9"/>
    <w:rsid w:val="35F06630"/>
    <w:rsid w:val="3671516D"/>
    <w:rsid w:val="368423C3"/>
    <w:rsid w:val="36E145E8"/>
    <w:rsid w:val="373D7791"/>
    <w:rsid w:val="37B94BFB"/>
    <w:rsid w:val="37F60F91"/>
    <w:rsid w:val="37F935AD"/>
    <w:rsid w:val="381F6CE7"/>
    <w:rsid w:val="387570FF"/>
    <w:rsid w:val="38912988"/>
    <w:rsid w:val="38987D24"/>
    <w:rsid w:val="38A23289"/>
    <w:rsid w:val="390B4ADC"/>
    <w:rsid w:val="393A2797"/>
    <w:rsid w:val="3A375B1A"/>
    <w:rsid w:val="3A72126E"/>
    <w:rsid w:val="3A745C28"/>
    <w:rsid w:val="3AAE69DA"/>
    <w:rsid w:val="3B6F5414"/>
    <w:rsid w:val="3B8B2B81"/>
    <w:rsid w:val="3BF37A8A"/>
    <w:rsid w:val="3CF1454F"/>
    <w:rsid w:val="3D21651E"/>
    <w:rsid w:val="3DDD49EC"/>
    <w:rsid w:val="3DE10679"/>
    <w:rsid w:val="3E696A3A"/>
    <w:rsid w:val="3F124AED"/>
    <w:rsid w:val="3F2170F1"/>
    <w:rsid w:val="3F232B3E"/>
    <w:rsid w:val="3F4E67DE"/>
    <w:rsid w:val="3F7F0D7D"/>
    <w:rsid w:val="3FC3400C"/>
    <w:rsid w:val="3FFD3680"/>
    <w:rsid w:val="402174F1"/>
    <w:rsid w:val="40AB501E"/>
    <w:rsid w:val="414D6ACE"/>
    <w:rsid w:val="415A562B"/>
    <w:rsid w:val="41F02676"/>
    <w:rsid w:val="42346354"/>
    <w:rsid w:val="427533A1"/>
    <w:rsid w:val="42E140E5"/>
    <w:rsid w:val="4328508B"/>
    <w:rsid w:val="432B50A0"/>
    <w:rsid w:val="434170C2"/>
    <w:rsid w:val="43B4054F"/>
    <w:rsid w:val="43B95469"/>
    <w:rsid w:val="443A5EE3"/>
    <w:rsid w:val="45617F60"/>
    <w:rsid w:val="45870512"/>
    <w:rsid w:val="45B41425"/>
    <w:rsid w:val="45E95174"/>
    <w:rsid w:val="46B128BD"/>
    <w:rsid w:val="46E66CE7"/>
    <w:rsid w:val="46FA0FF2"/>
    <w:rsid w:val="47430479"/>
    <w:rsid w:val="477A6371"/>
    <w:rsid w:val="47BC11DC"/>
    <w:rsid w:val="48295DDF"/>
    <w:rsid w:val="48426E7F"/>
    <w:rsid w:val="494B1D12"/>
    <w:rsid w:val="499758AF"/>
    <w:rsid w:val="499F0EB2"/>
    <w:rsid w:val="49B32DAF"/>
    <w:rsid w:val="4A6C536C"/>
    <w:rsid w:val="4B23036C"/>
    <w:rsid w:val="4B5649C9"/>
    <w:rsid w:val="4B860450"/>
    <w:rsid w:val="4BB917EB"/>
    <w:rsid w:val="4BDD2060"/>
    <w:rsid w:val="4C556D5F"/>
    <w:rsid w:val="4C6236C3"/>
    <w:rsid w:val="4C64099C"/>
    <w:rsid w:val="4CA00D91"/>
    <w:rsid w:val="4CBF1EEC"/>
    <w:rsid w:val="4CF82913"/>
    <w:rsid w:val="4D8775AA"/>
    <w:rsid w:val="4E014A7E"/>
    <w:rsid w:val="4E502E66"/>
    <w:rsid w:val="4EC96D3A"/>
    <w:rsid w:val="4F11562E"/>
    <w:rsid w:val="4F55619D"/>
    <w:rsid w:val="502F57D8"/>
    <w:rsid w:val="505A2BE0"/>
    <w:rsid w:val="508646B9"/>
    <w:rsid w:val="50F352D4"/>
    <w:rsid w:val="51D3589B"/>
    <w:rsid w:val="51EC1DD4"/>
    <w:rsid w:val="51F35A78"/>
    <w:rsid w:val="527F4A90"/>
    <w:rsid w:val="52905A15"/>
    <w:rsid w:val="53211B0E"/>
    <w:rsid w:val="53371CCE"/>
    <w:rsid w:val="540D0D7A"/>
    <w:rsid w:val="54120B83"/>
    <w:rsid w:val="5439756A"/>
    <w:rsid w:val="551831D2"/>
    <w:rsid w:val="56390F80"/>
    <w:rsid w:val="56607376"/>
    <w:rsid w:val="568B01F8"/>
    <w:rsid w:val="5697159E"/>
    <w:rsid w:val="56976D52"/>
    <w:rsid w:val="56BB56DE"/>
    <w:rsid w:val="56D927EF"/>
    <w:rsid w:val="578B5215"/>
    <w:rsid w:val="58AF6EAB"/>
    <w:rsid w:val="58FE3D68"/>
    <w:rsid w:val="59114C94"/>
    <w:rsid w:val="5B0B4AF5"/>
    <w:rsid w:val="5BBA5F1D"/>
    <w:rsid w:val="5C9808C5"/>
    <w:rsid w:val="5CB40A55"/>
    <w:rsid w:val="5D2E567E"/>
    <w:rsid w:val="5D5C0FB3"/>
    <w:rsid w:val="5D5F31E8"/>
    <w:rsid w:val="5D787E2C"/>
    <w:rsid w:val="5DAB12C0"/>
    <w:rsid w:val="5DF66800"/>
    <w:rsid w:val="5E146D7E"/>
    <w:rsid w:val="5EE33207"/>
    <w:rsid w:val="5F2267E7"/>
    <w:rsid w:val="5FD66037"/>
    <w:rsid w:val="6012615B"/>
    <w:rsid w:val="602977C6"/>
    <w:rsid w:val="615056A4"/>
    <w:rsid w:val="615A2A5C"/>
    <w:rsid w:val="61C25231"/>
    <w:rsid w:val="62010F82"/>
    <w:rsid w:val="63722CD3"/>
    <w:rsid w:val="63CC2B7C"/>
    <w:rsid w:val="64B00141"/>
    <w:rsid w:val="65944A13"/>
    <w:rsid w:val="665826FC"/>
    <w:rsid w:val="668212E4"/>
    <w:rsid w:val="66B76E86"/>
    <w:rsid w:val="66E301D7"/>
    <w:rsid w:val="670E2D03"/>
    <w:rsid w:val="67CB7714"/>
    <w:rsid w:val="67DC31B9"/>
    <w:rsid w:val="67E048BB"/>
    <w:rsid w:val="67E8619A"/>
    <w:rsid w:val="682561C7"/>
    <w:rsid w:val="684B727A"/>
    <w:rsid w:val="68780C49"/>
    <w:rsid w:val="68C81824"/>
    <w:rsid w:val="68F129B8"/>
    <w:rsid w:val="68F76409"/>
    <w:rsid w:val="69171D7D"/>
    <w:rsid w:val="691971E5"/>
    <w:rsid w:val="699C5408"/>
    <w:rsid w:val="69D223CE"/>
    <w:rsid w:val="6A1F357C"/>
    <w:rsid w:val="6A7665AE"/>
    <w:rsid w:val="6B247D4D"/>
    <w:rsid w:val="6C0F171E"/>
    <w:rsid w:val="6C765DC5"/>
    <w:rsid w:val="6DD77F49"/>
    <w:rsid w:val="6E057464"/>
    <w:rsid w:val="6E6B0AB3"/>
    <w:rsid w:val="6E6C5809"/>
    <w:rsid w:val="6E924C8A"/>
    <w:rsid w:val="6EDA1D31"/>
    <w:rsid w:val="6F1E3719"/>
    <w:rsid w:val="6FF717DF"/>
    <w:rsid w:val="702D6927"/>
    <w:rsid w:val="7031223B"/>
    <w:rsid w:val="70523B92"/>
    <w:rsid w:val="70AF111C"/>
    <w:rsid w:val="70D26DFD"/>
    <w:rsid w:val="70F30FF3"/>
    <w:rsid w:val="71464370"/>
    <w:rsid w:val="717004D3"/>
    <w:rsid w:val="72373FEB"/>
    <w:rsid w:val="723D1F2D"/>
    <w:rsid w:val="724A324D"/>
    <w:rsid w:val="72BF16A6"/>
    <w:rsid w:val="72D75DA3"/>
    <w:rsid w:val="72FA3B21"/>
    <w:rsid w:val="7359152D"/>
    <w:rsid w:val="7385686F"/>
    <w:rsid w:val="73C33B27"/>
    <w:rsid w:val="74C705C8"/>
    <w:rsid w:val="74FE57C9"/>
    <w:rsid w:val="7530789A"/>
    <w:rsid w:val="75E523F5"/>
    <w:rsid w:val="75FE1AE1"/>
    <w:rsid w:val="7602298C"/>
    <w:rsid w:val="765A0552"/>
    <w:rsid w:val="776A40BF"/>
    <w:rsid w:val="78B908BE"/>
    <w:rsid w:val="796A7517"/>
    <w:rsid w:val="79D30EB7"/>
    <w:rsid w:val="79EF3E6D"/>
    <w:rsid w:val="7A9048C6"/>
    <w:rsid w:val="7B1F54DD"/>
    <w:rsid w:val="7BFA2DD6"/>
    <w:rsid w:val="7C5422F0"/>
    <w:rsid w:val="7C671754"/>
    <w:rsid w:val="7CDE3465"/>
    <w:rsid w:val="7D215736"/>
    <w:rsid w:val="7D367237"/>
    <w:rsid w:val="7D3718C2"/>
    <w:rsid w:val="7D5E49F3"/>
    <w:rsid w:val="7D787B7F"/>
    <w:rsid w:val="7D91200D"/>
    <w:rsid w:val="7DD1740F"/>
    <w:rsid w:val="7EE2234D"/>
    <w:rsid w:val="7F0E7689"/>
    <w:rsid w:val="7F31249F"/>
    <w:rsid w:val="7FC0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0" w:firstLineChars="200"/>
      <w:jc w:val="both"/>
    </w:pPr>
    <w:rPr>
      <w:rFonts w:ascii="Times New Roman" w:hAnsi="Times New Roman" w:eastAsia="宋体" w:cs="宋体"/>
      <w:kern w:val="2"/>
      <w:sz w:val="21"/>
      <w:szCs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640" w:firstLineChars="200"/>
      <w:jc w:val="left"/>
      <w:outlineLvl w:val="0"/>
    </w:pPr>
    <w:rPr>
      <w:rFonts w:hint="eastAsia" w:ascii="黑体" w:hAnsi="黑体" w:eastAsia="宋体" w:cs="宋体"/>
      <w:b/>
      <w:color w:val="000000" w:themeColor="text1"/>
      <w:kern w:val="44"/>
      <w:sz w:val="24"/>
      <w:szCs w:val="48"/>
      <w:lang w:bidi="ar"/>
      <w14:textFill>
        <w14:solidFill>
          <w14:schemeClr w14:val="tx1"/>
        </w14:solidFill>
      </w14:textFill>
    </w:rPr>
  </w:style>
  <w:style w:type="paragraph" w:styleId="3">
    <w:name w:val="heading 2"/>
    <w:next w:val="1"/>
    <w:unhideWhenUsed/>
    <w:qFormat/>
    <w:uiPriority w:val="0"/>
    <w:pPr>
      <w:keepNext/>
      <w:keepLines/>
      <w:widowControl w:val="0"/>
      <w:spacing w:beforeLines="0" w:beforeAutospacing="0" w:afterLines="0" w:afterAutospacing="0" w:line="400" w:lineRule="exact"/>
      <w:ind w:firstLine="640" w:firstLineChars="200"/>
      <w:jc w:val="left"/>
      <w:outlineLvl w:val="1"/>
    </w:pPr>
    <w:rPr>
      <w:rFonts w:ascii="黑体" w:hAnsi="黑体" w:eastAsia="宋体" w:cstheme="minorBidi"/>
      <w:b/>
      <w:kern w:val="2"/>
      <w:sz w:val="21"/>
      <w:szCs w:val="24"/>
      <w:lang w:val="en-US" w:eastAsia="zh-CN" w:bidi="ar-SA"/>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120" w:beforeAutospacing="0" w:after="120" w:afterAutospacing="0" w:line="240" w:lineRule="auto"/>
      <w:ind w:left="0" w:right="0"/>
      <w:jc w:val="left"/>
      <w:outlineLvl w:val="2"/>
    </w:pPr>
    <w:rPr>
      <w:rFonts w:ascii="黑体" w:hAnsi="黑体" w:eastAsia="黑体" w:cs="黑体"/>
      <w:kern w:val="0"/>
      <w:szCs w:val="27"/>
      <w:lang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qFormat/>
    <w:uiPriority w:val="0"/>
    <w:pPr>
      <w:widowControl w:val="0"/>
      <w:spacing w:line="360" w:lineRule="auto"/>
      <w:ind w:firstLine="480" w:firstLineChars="200"/>
      <w:jc w:val="left"/>
    </w:pPr>
    <w:rPr>
      <w:rFonts w:eastAsia="宋体" w:asciiTheme="minorHAnsi" w:hAnsiTheme="minorHAnsi" w:cstheme="minorBidi"/>
      <w:kern w:val="2"/>
      <w:sz w:val="24"/>
      <w:szCs w:val="24"/>
      <w:lang w:val="en-US" w:eastAsia="zh-CN" w:bidi="ar-SA"/>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spacing w:line="240" w:lineRule="auto"/>
      <w:ind w:firstLine="0" w:firstLineChars="0"/>
      <w:jc w:val="left"/>
    </w:pPr>
    <w:rPr>
      <w:sz w:val="18"/>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ndnote reference"/>
    <w:basedOn w:val="12"/>
    <w:qFormat/>
    <w:uiPriority w:val="0"/>
    <w:rPr>
      <w:vertAlign w:val="superscript"/>
    </w:rPr>
  </w:style>
  <w:style w:type="character" w:styleId="15">
    <w:name w:val="FollowedHyperlink"/>
    <w:basedOn w:val="12"/>
    <w:qFormat/>
    <w:uiPriority w:val="0"/>
    <w:rPr>
      <w:color w:val="506697"/>
      <w:u w:val="none"/>
    </w:rPr>
  </w:style>
  <w:style w:type="character" w:styleId="16">
    <w:name w:val="Emphasis"/>
    <w:basedOn w:val="12"/>
    <w:qFormat/>
    <w:uiPriority w:val="0"/>
  </w:style>
  <w:style w:type="character" w:styleId="17">
    <w:name w:val="Hyperlink"/>
    <w:basedOn w:val="12"/>
    <w:qFormat/>
    <w:uiPriority w:val="0"/>
    <w:rPr>
      <w:color w:val="506697"/>
      <w:u w:val="none"/>
    </w:rPr>
  </w:style>
  <w:style w:type="character" w:styleId="18">
    <w:name w:val="annotation reference"/>
    <w:qFormat/>
    <w:uiPriority w:val="0"/>
    <w:rPr>
      <w:sz w:val="21"/>
      <w:szCs w:val="21"/>
    </w:rPr>
  </w:style>
  <w:style w:type="character" w:styleId="19">
    <w:name w:val="footnote reference"/>
    <w:basedOn w:val="12"/>
    <w:qFormat/>
    <w:uiPriority w:val="0"/>
    <w:rPr>
      <w:vertAlign w:val="superscript"/>
    </w:rPr>
  </w:style>
  <w:style w:type="character" w:customStyle="1" w:styleId="20">
    <w:name w:val="font01"/>
    <w:qFormat/>
    <w:uiPriority w:val="0"/>
    <w:rPr>
      <w:rFonts w:hint="eastAsia" w:ascii="宋体" w:hAnsi="宋体" w:eastAsia="宋体" w:cs="宋体"/>
      <w:color w:val="000000"/>
      <w:sz w:val="21"/>
      <w:szCs w:val="21"/>
      <w:u w:val="none"/>
      <w:vertAlign w:val="superscript"/>
    </w:rPr>
  </w:style>
  <w:style w:type="character" w:customStyle="1" w:styleId="21">
    <w:name w:val="layui-this"/>
    <w:basedOn w:val="12"/>
    <w:qFormat/>
    <w:uiPriority w:val="0"/>
    <w:rPr>
      <w:bdr w:val="single" w:color="EEEEEE" w:sz="4" w:space="0"/>
      <w:shd w:val="clear" w:fill="FFFFFF"/>
    </w:rPr>
  </w:style>
  <w:style w:type="character" w:customStyle="1" w:styleId="22">
    <w:name w:val="first-child"/>
    <w:basedOn w:val="12"/>
    <w:qFormat/>
    <w:uiPriority w:val="0"/>
  </w:style>
  <w:style w:type="character" w:customStyle="1" w:styleId="23">
    <w:name w:val="spanleft"/>
    <w:basedOn w:val="12"/>
    <w:qFormat/>
    <w:uiPriority w:val="0"/>
  </w:style>
  <w:style w:type="character" w:customStyle="1" w:styleId="24">
    <w:name w:val="hover55"/>
    <w:basedOn w:val="12"/>
    <w:qFormat/>
    <w:uiPriority w:val="0"/>
    <w:rPr>
      <w:color w:val="53A2E4"/>
    </w:rPr>
  </w:style>
  <w:style w:type="character" w:customStyle="1" w:styleId="25">
    <w:name w:val="font31"/>
    <w:basedOn w:val="12"/>
    <w:qFormat/>
    <w:uiPriority w:val="0"/>
    <w:rPr>
      <w:rFonts w:hint="default" w:ascii="Times New Roman" w:hAnsi="Times New Roman" w:cs="Times New Roman"/>
      <w:color w:val="000000"/>
      <w:sz w:val="21"/>
      <w:szCs w:val="21"/>
      <w:u w:val="none"/>
    </w:rPr>
  </w:style>
  <w:style w:type="character" w:customStyle="1" w:styleId="26">
    <w:name w:val="font21"/>
    <w:basedOn w:val="12"/>
    <w:qFormat/>
    <w:uiPriority w:val="0"/>
    <w:rPr>
      <w:rFonts w:hint="default" w:ascii="Times New Roman" w:hAnsi="Times New Roman" w:cs="Times New Roman"/>
      <w:color w:val="000000"/>
      <w:sz w:val="21"/>
      <w:szCs w:val="21"/>
      <w:u w:val="none"/>
      <w:vertAlign w:val="superscript"/>
    </w:rPr>
  </w:style>
  <w:style w:type="character" w:customStyle="1" w:styleId="27">
    <w:name w:val="font11"/>
    <w:basedOn w:val="12"/>
    <w:qFormat/>
    <w:uiPriority w:val="0"/>
    <w:rPr>
      <w:rFonts w:hint="eastAsia" w:ascii="宋体" w:hAnsi="宋体" w:eastAsia="宋体" w:cs="宋体"/>
      <w:color w:val="000000"/>
      <w:sz w:val="21"/>
      <w:szCs w:val="21"/>
      <w:u w:val="none"/>
    </w:rPr>
  </w:style>
  <w:style w:type="character" w:customStyle="1" w:styleId="28">
    <w:name w:val="font41"/>
    <w:basedOn w:val="12"/>
    <w:qFormat/>
    <w:uiPriority w:val="0"/>
    <w:rPr>
      <w:rFonts w:hint="default" w:ascii="Times New Roman" w:hAnsi="Times New Roman" w:cs="Times New Roman"/>
      <w:color w:val="000000"/>
      <w:sz w:val="21"/>
      <w:szCs w:val="21"/>
      <w:u w:val="none"/>
    </w:rPr>
  </w:style>
  <w:style w:type="character" w:customStyle="1" w:styleId="29">
    <w:name w:val="font5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chart" Target="charts/chart2.xml"/><Relationship Id="rId61" Type="http://schemas.openxmlformats.org/officeDocument/2006/relationships/chart" Target="charts/chart1.xml"/><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D:\&#26700;&#38754;\2009-2019&#20140;&#27941;&#20864;.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6700;&#38754;\2009-2019&#20140;&#27941;&#2086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166666666667"/>
          <c:y val="0.0509259259259259"/>
          <c:w val="0.913944444444444"/>
          <c:h val="0.78412037037037"/>
        </c:manualLayout>
      </c:layout>
      <c:lineChart>
        <c:grouping val="standard"/>
        <c:varyColors val="0"/>
        <c:ser>
          <c:idx val="0"/>
          <c:order val="0"/>
          <c:tx>
            <c:strRef>
              <c:f>'[2009-2019京津冀.xlsx]Sheet1'!$N$25</c:f>
              <c:strCache>
                <c:ptCount val="1"/>
                <c:pt idx="0">
                  <c:v>生态效率</c:v>
                </c:pt>
              </c:strCache>
            </c:strRef>
          </c:tx>
          <c:spPr>
            <a:ln w="19050" cap="rnd">
              <a:solidFill>
                <a:sysClr val="windowText" lastClr="000000"/>
              </a:solidFill>
              <a:round/>
            </a:ln>
            <a:effectLst/>
          </c:spPr>
          <c:marker>
            <c:symbol val="circle"/>
            <c:size val="4"/>
            <c:spPr>
              <a:solidFill>
                <a:sysClr val="windowText" lastClr="000000"/>
              </a:solidFill>
              <a:ln w="9525">
                <a:solidFill>
                  <a:sysClr val="windowText" lastClr="000000"/>
                </a:solidFill>
              </a:ln>
              <a:effectLst/>
            </c:spPr>
          </c:marker>
          <c:dLbls>
            <c:dLbl>
              <c:idx val="5"/>
              <c:layout>
                <c:manualLayout>
                  <c:x val="-0.0216666666666667"/>
                  <c:y val="0.038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83333333333333"/>
                  <c:y val="-0.033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round/>
                    </a:ln>
                    <a:effectLst/>
                  </c:spPr>
                </c15:leaderLines>
              </c:ext>
            </c:extLst>
          </c:dLbls>
          <c:cat>
            <c:numRef>
              <c:f>'[2009-2019京津冀.xlsx]Sheet1'!$M$26:$M$36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'[2009-2019京津冀.xlsx]Sheet1'!$N$26:$N$36</c:f>
              <c:numCache>
                <c:formatCode>0.0000_ </c:formatCode>
                <c:ptCount val="11"/>
                <c:pt idx="0">
                  <c:v>0.6062</c:v>
                </c:pt>
                <c:pt idx="1">
                  <c:v>0.5156</c:v>
                </c:pt>
                <c:pt idx="2">
                  <c:v>0.7008</c:v>
                </c:pt>
                <c:pt idx="3">
                  <c:v>0.7947</c:v>
                </c:pt>
                <c:pt idx="4">
                  <c:v>0.6207</c:v>
                </c:pt>
                <c:pt idx="5">
                  <c:v>0.826</c:v>
                </c:pt>
                <c:pt idx="6">
                  <c:v>0.8451</c:v>
                </c:pt>
                <c:pt idx="7">
                  <c:v>0.6307</c:v>
                </c:pt>
                <c:pt idx="8">
                  <c:v>0.6747</c:v>
                </c:pt>
                <c:pt idx="9">
                  <c:v>0.5987</c:v>
                </c:pt>
                <c:pt idx="10">
                  <c:v>0.5883</c:v>
                </c:pt>
              </c:numCache>
            </c:numRef>
          </c:val>
          <c:smooth val="0"/>
        </c:ser>
        <c:dLbls>
          <c:showLegendKey val="0"/>
          <c:showVal val="0"/>
          <c:showCatName val="0"/>
          <c:showSerName val="0"/>
          <c:showPercent val="0"/>
          <c:showBubbleSize val="0"/>
        </c:dLbls>
        <c:marker val="1"/>
        <c:smooth val="0"/>
        <c:axId val="409054326"/>
        <c:axId val="363065556"/>
      </c:lineChart>
      <c:dateAx>
        <c:axId val="409054326"/>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63065556"/>
        <c:crosses val="autoZero"/>
        <c:auto val="1"/>
        <c:lblAlgn val="ctr"/>
        <c:lblOffset val="100"/>
        <c:baseTimeUnit val="days"/>
      </c:dateAx>
      <c:valAx>
        <c:axId val="363065556"/>
        <c:scaling>
          <c:orientation val="minMax"/>
          <c:max val="0.9"/>
          <c:min val="0.4"/>
        </c:scaling>
        <c:delete val="0"/>
        <c:axPos val="l"/>
        <c:numFmt formatCode="0.0_);[Red]\(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09054326"/>
        <c:crosses val="autoZero"/>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manualLayout>
          <c:xMode val="edge"/>
          <c:yMode val="edge"/>
          <c:x val="0.411597222222222"/>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66666666667"/>
          <c:y val="0.0157407407407407"/>
          <c:w val="0.859291666666667"/>
          <c:h val="0.888981481481481"/>
        </c:manualLayout>
      </c:layout>
      <c:barChart>
        <c:barDir val="bar"/>
        <c:grouping val="clustered"/>
        <c:varyColors val="0"/>
        <c:ser>
          <c:idx val="0"/>
          <c:order val="0"/>
          <c:tx>
            <c:strRef>
              <c:f>'[2009-2019京津冀.xlsx]Sheet1'!$P$1</c:f>
              <c:strCache>
                <c:ptCount val="1"/>
                <c:pt idx="0">
                  <c:v>生态效率</c:v>
                </c:pt>
              </c:strCache>
            </c:strRef>
          </c:tx>
          <c:spPr>
            <a:noFill/>
            <a:ln w="12700">
              <a:solidFill>
                <a:sysClr val="windowText" lastClr="000000"/>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'[2009-2019京津冀.xlsx]Sheet1'!$O$2:$O$14</c:f>
              <c:strCache>
                <c:ptCount val="13"/>
                <c:pt idx="0">
                  <c:v>承德</c:v>
                </c:pt>
                <c:pt idx="1">
                  <c:v>张家口</c:v>
                </c:pt>
                <c:pt idx="2">
                  <c:v>邯郸</c:v>
                </c:pt>
                <c:pt idx="3">
                  <c:v>石家庄</c:v>
                </c:pt>
                <c:pt idx="4">
                  <c:v>邢台</c:v>
                </c:pt>
                <c:pt idx="5">
                  <c:v>秦皇岛</c:v>
                </c:pt>
                <c:pt idx="6">
                  <c:v>保定</c:v>
                </c:pt>
                <c:pt idx="7">
                  <c:v>廊坊</c:v>
                </c:pt>
                <c:pt idx="8">
                  <c:v>唐山</c:v>
                </c:pt>
                <c:pt idx="9">
                  <c:v>天津</c:v>
                </c:pt>
                <c:pt idx="10">
                  <c:v>衡水</c:v>
                </c:pt>
                <c:pt idx="11">
                  <c:v>北京</c:v>
                </c:pt>
                <c:pt idx="12">
                  <c:v>沧州</c:v>
                </c:pt>
              </c:strCache>
            </c:strRef>
          </c:cat>
          <c:val>
            <c:numRef>
              <c:f>'[2009-2019京津冀.xlsx]Sheet1'!$P$2:$P$14</c:f>
              <c:numCache>
                <c:formatCode>0.0000_ </c:formatCode>
                <c:ptCount val="13"/>
                <c:pt idx="0">
                  <c:v>0.1468</c:v>
                </c:pt>
                <c:pt idx="1">
                  <c:v>0.1607</c:v>
                </c:pt>
                <c:pt idx="2">
                  <c:v>0.348</c:v>
                </c:pt>
                <c:pt idx="3">
                  <c:v>0.4767</c:v>
                </c:pt>
                <c:pt idx="4">
                  <c:v>0.5681</c:v>
                </c:pt>
                <c:pt idx="5">
                  <c:v>0.5851</c:v>
                </c:pt>
                <c:pt idx="6">
                  <c:v>0.8216</c:v>
                </c:pt>
                <c:pt idx="7">
                  <c:v>0.8286</c:v>
                </c:pt>
                <c:pt idx="8">
                  <c:v>0.9321</c:v>
                </c:pt>
                <c:pt idx="9">
                  <c:v>0.9419</c:v>
                </c:pt>
                <c:pt idx="10">
                  <c:v>0.9555</c:v>
                </c:pt>
                <c:pt idx="11">
                  <c:v>0.9652</c:v>
                </c:pt>
                <c:pt idx="12">
                  <c:v>1.017</c:v>
                </c:pt>
              </c:numCache>
            </c:numRef>
          </c:val>
        </c:ser>
        <c:dLbls>
          <c:showLegendKey val="0"/>
          <c:showVal val="1"/>
          <c:showCatName val="0"/>
          <c:showSerName val="0"/>
          <c:showPercent val="0"/>
          <c:showBubbleSize val="0"/>
        </c:dLbls>
        <c:gapWidth val="182"/>
        <c:overlap val="0"/>
        <c:axId val="615059351"/>
        <c:axId val="265355370"/>
      </c:barChart>
      <c:catAx>
        <c:axId val="615059351"/>
        <c:scaling>
          <c:orientation val="minMax"/>
        </c:scaling>
        <c:delete val="0"/>
        <c:axPos val="l"/>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65355370"/>
        <c:crosses val="autoZero"/>
        <c:auto val="1"/>
        <c:lblAlgn val="ctr"/>
        <c:lblOffset val="100"/>
        <c:noMultiLvlLbl val="0"/>
      </c:catAx>
      <c:valAx>
        <c:axId val="265355370"/>
        <c:scaling>
          <c:orientation val="minMax"/>
          <c:max val="1.1"/>
          <c:min val="0"/>
        </c:scaling>
        <c:delete val="0"/>
        <c:axPos val="b"/>
        <c:majorGridlines>
          <c:spPr>
            <a:ln w="9525" cap="flat" cmpd="sng" algn="ctr">
              <a:solidFill>
                <a:sysClr val="windowText" lastClr="000000">
                  <a:lumMod val="15000"/>
                  <a:lumOff val="85000"/>
                </a:sysClr>
              </a:solidFill>
              <a:round/>
            </a:ln>
            <a:effectLst/>
          </c:spPr>
        </c:majorGridlines>
        <c:numFmt formatCode="0.0_);[Red]\(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15059351"/>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2020-09-20T02:31:00Z</dcterms:created>
  <dc:creator>Cookie</dc:creator>
  <cp:lastModifiedBy>HH</cp:lastModifiedBy>
  <dcterms:modified xsi:type="dcterms:W3CDTF">2021-06-18T07:11:31Z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CCF3D35F0F8040B5B90FAE5236CDE22E</vt:lpwstr>
  </property>
</Properties>
</file>