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食品生物化学课程</w:t>
      </w:r>
      <w:r>
        <w:rPr>
          <w:rFonts w:ascii="Times New Roman" w:hAnsi="Times New Roman" w:eastAsia="黑体" w:cs="Times New Roman"/>
          <w:sz w:val="32"/>
          <w:szCs w:val="32"/>
        </w:rPr>
        <w:t>混合式教学改革的实践与探索</w:t>
      </w:r>
      <w:r>
        <w:rPr>
          <w:rStyle w:val="13"/>
          <w:rFonts w:ascii="Times New Roman" w:hAnsi="Times New Roman" w:eastAsia="黑体" w:cs="Times New Roman"/>
          <w:b/>
          <w:sz w:val="32"/>
          <w:szCs w:val="20"/>
        </w:rPr>
        <w:footnoteReference w:id="0"/>
      </w:r>
    </w:p>
    <w:p>
      <w:pPr>
        <w:spacing w:line="400" w:lineRule="exact"/>
        <w:jc w:val="center"/>
        <w:rPr>
          <w:rFonts w:ascii="Times New Roman" w:hAnsi="Times New Roman" w:eastAsia="宋体" w:cs="Times New Roman"/>
          <w:color w:val="292929"/>
          <w:kern w:val="0"/>
          <w:szCs w:val="21"/>
        </w:rPr>
      </w:pPr>
      <w:r>
        <w:rPr>
          <w:rFonts w:hint="eastAsia" w:ascii="Times New Roman" w:hAnsi="Times New Roman" w:eastAsia="宋体" w:cs="Times New Roman"/>
          <w:color w:val="292929"/>
          <w:kern w:val="0"/>
          <w:szCs w:val="21"/>
        </w:rPr>
        <w:t>田荣荣</w:t>
      </w:r>
      <w:r>
        <w:rPr>
          <w:rFonts w:ascii="Times New Roman" w:hAnsi="Times New Roman" w:eastAsia="宋体" w:cs="Times New Roman"/>
          <w:color w:val="292929"/>
          <w:kern w:val="0"/>
          <w:szCs w:val="21"/>
        </w:rPr>
        <w:t>，</w:t>
      </w:r>
      <w:r>
        <w:rPr>
          <w:rFonts w:hint="eastAsia" w:ascii="Times New Roman" w:hAnsi="Times New Roman" w:eastAsia="宋体" w:cs="Times New Roman"/>
          <w:color w:val="292929"/>
          <w:kern w:val="0"/>
          <w:szCs w:val="21"/>
        </w:rPr>
        <w:t>何献君</w:t>
      </w:r>
      <w:r>
        <w:rPr>
          <w:rFonts w:ascii="Times New Roman" w:hAnsi="Times New Roman" w:eastAsia="宋体" w:cs="Times New Roman"/>
          <w:color w:val="292929"/>
          <w:kern w:val="0"/>
          <w:szCs w:val="21"/>
        </w:rPr>
        <w:t>，</w:t>
      </w:r>
      <w:r>
        <w:rPr>
          <w:rFonts w:hint="eastAsia" w:ascii="Times New Roman" w:hAnsi="Times New Roman" w:eastAsia="宋体" w:cs="Times New Roman"/>
          <w:color w:val="292929"/>
          <w:kern w:val="0"/>
          <w:szCs w:val="21"/>
        </w:rPr>
        <w:t>刘杨</w:t>
      </w:r>
    </w:p>
    <w:p>
      <w:pPr>
        <w:spacing w:line="400" w:lineRule="exact"/>
        <w:jc w:val="center"/>
        <w:rPr>
          <w:rFonts w:ascii="Times New Roman" w:hAnsi="Times New Roman" w:eastAsia="宋体" w:cs="Times New Roman"/>
        </w:rPr>
      </w:pPr>
      <w:r>
        <w:rPr>
          <w:rFonts w:hint="eastAsia" w:ascii="Times New Roman" w:hAnsi="Times New Roman" w:eastAsia="宋体" w:cs="Times New Roman"/>
          <w:color w:val="292929"/>
          <w:kern w:val="0"/>
          <w:szCs w:val="21"/>
        </w:rPr>
        <w:t>（北京城市学院生物医药学部，北京，</w:t>
      </w:r>
      <w:r>
        <w:rPr>
          <w:rFonts w:ascii="Times New Roman" w:hAnsi="Times New Roman" w:eastAsia="宋体" w:cs="Times New Roman"/>
          <w:color w:val="292929"/>
          <w:kern w:val="0"/>
          <w:szCs w:val="21"/>
        </w:rPr>
        <w:t>100094</w:t>
      </w:r>
      <w:r>
        <w:rPr>
          <w:rFonts w:hint="eastAsia" w:ascii="Times New Roman" w:hAnsi="Times New Roman" w:eastAsia="宋体" w:cs="Times New Roman"/>
          <w:color w:val="292929"/>
          <w:kern w:val="0"/>
          <w:szCs w:val="21"/>
        </w:rPr>
        <w:t>）</w:t>
      </w:r>
    </w:p>
    <w:p>
      <w:pPr>
        <w:spacing w:line="400" w:lineRule="exact"/>
        <w:ind w:firstLine="422" w:firstLineChars="200"/>
        <w:rPr>
          <w:rFonts w:ascii="Times New Roman" w:hAnsi="Times New Roman" w:eastAsia="宋体" w:cs="Times New Roman"/>
          <w:color w:val="292929"/>
          <w:kern w:val="0"/>
          <w:szCs w:val="21"/>
        </w:rPr>
      </w:pPr>
      <w:r>
        <w:rPr>
          <w:rFonts w:hint="eastAsia" w:ascii="Times New Roman" w:hAnsi="Times New Roman" w:eastAsia="宋体" w:cs="Times New Roman"/>
          <w:b/>
          <w:bCs/>
          <w:color w:val="000000"/>
          <w:kern w:val="0"/>
          <w:szCs w:val="21"/>
        </w:rPr>
        <w:t>摘</w:t>
      </w:r>
      <w:r>
        <w:rPr>
          <w:rFonts w:ascii="Times New Roman" w:hAnsi="Times New Roman" w:eastAsia="宋体" w:cs="Times New Roman"/>
          <w:b/>
          <w:bCs/>
          <w:color w:val="000000"/>
          <w:kern w:val="0"/>
          <w:szCs w:val="21"/>
        </w:rPr>
        <w:t xml:space="preserve">  </w:t>
      </w:r>
      <w:r>
        <w:rPr>
          <w:rFonts w:hint="eastAsia" w:ascii="Times New Roman" w:hAnsi="Times New Roman" w:eastAsia="宋体" w:cs="Times New Roman"/>
          <w:b/>
          <w:bCs/>
          <w:color w:val="000000"/>
          <w:kern w:val="0"/>
          <w:szCs w:val="21"/>
        </w:rPr>
        <w:t>要</w:t>
      </w:r>
      <w:r>
        <w:rPr>
          <w:rFonts w:ascii="Times New Roman" w:hAnsi="Times New Roman" w:eastAsia="宋体" w:cs="Times New Roman"/>
          <w:szCs w:val="21"/>
        </w:rPr>
        <w:t xml:space="preserve"> </w:t>
      </w:r>
      <w:r>
        <w:rPr>
          <w:rFonts w:hint="eastAsia" w:ascii="Times New Roman" w:hAnsi="Times New Roman" w:eastAsia="宋体" w:cs="Times New Roman"/>
          <w:color w:val="292929"/>
          <w:kern w:val="0"/>
          <w:szCs w:val="21"/>
        </w:rPr>
        <w:t>食品生物化学是食品相关专业的必修课程，也是公认的学生难学、教师难教的课程。为了更好地在有限的课时内实现课程的教学目标，以优慕课为平台，开展线上线下混合式教学改革探索，课前预习准备、课堂精讲答疑、课后复习扩展三个板块互相衔接，充分调动学生的学习积极性，提高学生的学习效率，教学实践表明该教学方式提高了学生的学习成绩，有助于学生良好学习习惯的养成，对同类课程有很好的借鉴意义。</w:t>
      </w:r>
    </w:p>
    <w:p>
      <w:pPr>
        <w:widowControl/>
        <w:spacing w:line="400" w:lineRule="exact"/>
        <w:ind w:firstLine="420"/>
        <w:jc w:val="left"/>
        <w:rPr>
          <w:rFonts w:ascii="Times New Roman" w:hAnsi="Times New Roman" w:eastAsia="宋体" w:cs="Times New Roman"/>
          <w:color w:val="292929"/>
          <w:kern w:val="0"/>
          <w:szCs w:val="21"/>
        </w:rPr>
      </w:pPr>
      <w:r>
        <w:rPr>
          <w:rFonts w:hint="eastAsia" w:ascii="Times New Roman" w:hAnsi="Times New Roman" w:eastAsia="宋体" w:cs="Times New Roman"/>
          <w:b/>
          <w:bCs/>
          <w:color w:val="000000"/>
          <w:kern w:val="0"/>
          <w:szCs w:val="21"/>
        </w:rPr>
        <w:t>关键词</w:t>
      </w:r>
      <w:r>
        <w:rPr>
          <w:rFonts w:ascii="Times New Roman" w:hAnsi="Times New Roman" w:eastAsia="宋体" w:cs="Times New Roman"/>
          <w:b/>
          <w:bCs/>
          <w:color w:val="000000"/>
          <w:kern w:val="0"/>
          <w:szCs w:val="21"/>
        </w:rPr>
        <w:t xml:space="preserve"> </w:t>
      </w:r>
      <w:r>
        <w:rPr>
          <w:rFonts w:hint="eastAsia" w:ascii="Times New Roman" w:hAnsi="Times New Roman" w:eastAsia="宋体" w:cs="Times New Roman"/>
          <w:color w:val="292929"/>
          <w:kern w:val="0"/>
          <w:szCs w:val="21"/>
        </w:rPr>
        <w:t>食品生物化学；线上；线下；混合式教学</w:t>
      </w:r>
    </w:p>
    <w:p>
      <w:pPr>
        <w:widowControl/>
        <w:spacing w:line="400" w:lineRule="exact"/>
        <w:ind w:right="315" w:firstLine="413" w:firstLineChars="196"/>
        <w:rPr>
          <w:rFonts w:ascii="Times New Roman" w:hAnsi="Times New Roman" w:eastAsia="宋体" w:cs="Times New Roman"/>
          <w:color w:val="000000"/>
          <w:kern w:val="0"/>
          <w:szCs w:val="21"/>
        </w:rPr>
      </w:pPr>
      <w:r>
        <w:rPr>
          <w:rFonts w:hint="eastAsia" w:ascii="Times New Roman" w:hAnsi="Times New Roman" w:eastAsia="宋体" w:cs="Times New Roman"/>
          <w:b/>
          <w:bCs/>
          <w:color w:val="000000"/>
          <w:kern w:val="0"/>
          <w:szCs w:val="21"/>
        </w:rPr>
        <w:t>中图分类号：</w:t>
      </w:r>
      <w:r>
        <w:rPr>
          <w:rFonts w:hint="eastAsia" w:ascii="Times New Roman" w:hAnsi="Times New Roman" w:eastAsia="宋体" w:cs="Times New Roman"/>
        </w:rPr>
        <w:t>G</w:t>
      </w:r>
      <w:r>
        <w:rPr>
          <w:rFonts w:ascii="Times New Roman" w:hAnsi="Times New Roman" w:eastAsia="宋体" w:cs="Times New Roman"/>
        </w:rPr>
        <w:t>642.0</w:t>
      </w:r>
      <w:r>
        <w:rPr>
          <w:rFonts w:ascii="Times New Roman" w:hAnsi="Times New Roman" w:eastAsia="宋体" w:cs="Times New Roman"/>
          <w:bCs/>
          <w:color w:val="000000"/>
          <w:kern w:val="0"/>
          <w:szCs w:val="21"/>
        </w:rPr>
        <w:t xml:space="preserve">    </w:t>
      </w:r>
      <w:r>
        <w:rPr>
          <w:rFonts w:hint="eastAsia" w:ascii="Times New Roman" w:hAnsi="Times New Roman" w:eastAsia="宋体" w:cs="Times New Roman"/>
          <w:b/>
          <w:bCs/>
          <w:color w:val="000000"/>
          <w:kern w:val="0"/>
          <w:szCs w:val="21"/>
        </w:rPr>
        <w:t>文献标识码：</w:t>
      </w:r>
      <w:r>
        <w:rPr>
          <w:rFonts w:ascii="Times New Roman" w:hAnsi="Times New Roman" w:eastAsia="宋体" w:cs="Times New Roman"/>
          <w:bCs/>
          <w:color w:val="000000"/>
          <w:kern w:val="0"/>
          <w:szCs w:val="21"/>
        </w:rPr>
        <w:t>A</w:t>
      </w: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Times New Roman" w:hAnsi="Times New Roman" w:eastAsia="宋体" w:cs="Times New Roman"/>
          <w:b/>
          <w:bCs/>
          <w:color w:val="000000"/>
          <w:kern w:val="0"/>
          <w:szCs w:val="21"/>
        </w:rPr>
        <w:t>文章编号：</w:t>
      </w:r>
      <w:r>
        <w:rPr>
          <w:rFonts w:ascii="Times New Roman" w:hAnsi="Times New Roman" w:eastAsia="宋体" w:cs="Times New Roman"/>
          <w:color w:val="000000"/>
          <w:kern w:val="0"/>
          <w:szCs w:val="21"/>
        </w:rPr>
        <w:t xml:space="preserve"> </w:t>
      </w:r>
    </w:p>
    <w:p>
      <w:pPr>
        <w:spacing w:line="400" w:lineRule="exact"/>
        <w:ind w:firstLine="420" w:firstLineChars="200"/>
        <w:rPr>
          <w:rFonts w:ascii="Times New Roman" w:hAnsi="Times New Roman" w:cs="Times New Roman"/>
          <w:b/>
          <w:bCs/>
          <w:color w:val="000000"/>
          <w:kern w:val="0"/>
          <w:szCs w:val="21"/>
        </w:rPr>
      </w:pPr>
    </w:p>
    <w:p>
      <w:pPr>
        <w:spacing w:line="400" w:lineRule="exact"/>
        <w:ind w:firstLine="482" w:firstLineChars="200"/>
        <w:rPr>
          <w:rFonts w:ascii="Times New Roman" w:hAnsi="Times New Roman" w:eastAsia="宋体" w:cs="Times New Roman"/>
          <w:sz w:val="24"/>
          <w:szCs w:val="24"/>
        </w:rPr>
      </w:pPr>
      <w:r>
        <w:rPr>
          <w:rFonts w:hint="eastAsia" w:ascii="Times New Roman" w:hAnsi="Times New Roman" w:eastAsia="宋体" w:cs="Times New Roman"/>
          <w:b/>
          <w:bCs/>
          <w:color w:val="000000"/>
          <w:kern w:val="0"/>
          <w:sz w:val="24"/>
          <w:szCs w:val="24"/>
        </w:rPr>
        <w:t>引言</w:t>
      </w:r>
    </w:p>
    <w:p>
      <w:pPr>
        <w:spacing w:line="400" w:lineRule="exact"/>
        <w:ind w:firstLine="420" w:firstLineChars="200"/>
        <w:rPr>
          <w:rFonts w:ascii="Times New Roman" w:hAnsi="Times New Roman" w:eastAsia="宋体" w:cs="Times New Roman"/>
        </w:rPr>
      </w:pPr>
      <w:r>
        <w:rPr>
          <w:rFonts w:hint="eastAsia" w:ascii="Times New Roman" w:hAnsi="Times New Roman" w:eastAsia="宋体" w:cs="Times New Roman"/>
        </w:rPr>
        <w:t>生物化学是生命科学、医学、农业科学、环境科学和生态科学等领域的基础学科之一，是多学科渗透、交叉和综合的自然学科，也是发展最迅速的学科之一</w:t>
      </w:r>
      <w:r>
        <w:rPr>
          <w:rFonts w:hint="eastAsia" w:ascii="Times New Roman" w:hAnsi="Times New Roman" w:eastAsia="宋体" w:cs="Times New Roman"/>
          <w:vertAlign w:val="superscript"/>
        </w:rPr>
        <w:t>[</w:t>
      </w:r>
      <w:r>
        <w:rPr>
          <w:rFonts w:ascii="Times New Roman" w:hAnsi="Times New Roman" w:eastAsia="宋体" w:cs="Times New Roman"/>
          <w:vertAlign w:val="superscript"/>
        </w:rPr>
        <w:t>1]</w:t>
      </w:r>
      <w:r>
        <w:rPr>
          <w:rFonts w:hint="eastAsia" w:ascii="Times New Roman" w:hAnsi="Times New Roman" w:eastAsia="宋体" w:cs="Times New Roman"/>
        </w:rPr>
        <w:t>。小至细胞、分子，大至物种群体、生态系统，从转基因动植物至基因诊断、基因治疗，这些均与生物化学知识紧密相关。课程涵盖内容非常广泛，是国内外各高校与生命体相关所有专业重要的必修课程，同时该课程也是公认老师难教、学生难学的课程。</w:t>
      </w:r>
    </w:p>
    <w:p>
      <w:pPr>
        <w:spacing w:line="400" w:lineRule="exact"/>
        <w:ind w:firstLine="420" w:firstLineChars="200"/>
        <w:rPr>
          <w:rFonts w:ascii="Times New Roman" w:hAnsi="Times New Roman" w:eastAsia="宋体" w:cs="Times New Roman"/>
        </w:rPr>
      </w:pPr>
      <w:r>
        <w:rPr>
          <w:rFonts w:hint="eastAsia" w:ascii="Times New Roman" w:hAnsi="Times New Roman" w:eastAsia="宋体" w:cs="Times New Roman"/>
        </w:rPr>
        <w:t>为了让学生更好地掌握这一重要的基础课程，各开设生命相关课程的专业也都进行了积极的探索，在教学内容上、教学方法上、考核模式上不断进行着改革</w:t>
      </w:r>
      <w:r>
        <w:rPr>
          <w:rFonts w:hint="eastAsia" w:ascii="Times New Roman" w:hAnsi="Times New Roman" w:eastAsia="宋体" w:cs="Times New Roman"/>
          <w:vertAlign w:val="superscript"/>
        </w:rPr>
        <w:t>[</w:t>
      </w:r>
      <w:r>
        <w:rPr>
          <w:rFonts w:ascii="Times New Roman" w:hAnsi="Times New Roman" w:eastAsia="宋体" w:cs="Times New Roman"/>
          <w:vertAlign w:val="superscript"/>
        </w:rPr>
        <w:t>2-6]</w:t>
      </w:r>
      <w:r>
        <w:rPr>
          <w:rFonts w:hint="eastAsia" w:ascii="Times New Roman" w:hAnsi="Times New Roman" w:eastAsia="宋体" w:cs="Times New Roman"/>
        </w:rPr>
        <w:t>。由于生物化学的课程特点就是体系抽象，理论性知识较多</w:t>
      </w:r>
      <w:r>
        <w:rPr>
          <w:rFonts w:hint="eastAsia" w:ascii="Times New Roman" w:hAnsi="Times New Roman" w:eastAsia="宋体" w:cs="Times New Roman"/>
          <w:vertAlign w:val="superscript"/>
        </w:rPr>
        <w:t>[</w:t>
      </w:r>
      <w:r>
        <w:rPr>
          <w:rFonts w:ascii="Times New Roman" w:hAnsi="Times New Roman" w:eastAsia="宋体" w:cs="Times New Roman"/>
          <w:vertAlign w:val="superscript"/>
        </w:rPr>
        <w:t>2]</w:t>
      </w:r>
      <w:r>
        <w:rPr>
          <w:rFonts w:hint="eastAsia" w:ascii="Times New Roman" w:hAnsi="Times New Roman" w:eastAsia="宋体" w:cs="Times New Roman"/>
        </w:rPr>
        <w:t>，同时该课程又是食品化学及分子生物学等食品质量与安全专业核心课程及方向课程重要的专业基础，如何保证课堂时间的充分有效，如何充分利用学生课下时间进行课前预习及课后巩固，这是生物化学教学改革迫切需要解决的问题。</w:t>
      </w:r>
    </w:p>
    <w:p>
      <w:pPr>
        <w:spacing w:line="400" w:lineRule="exact"/>
        <w:ind w:firstLine="420" w:firstLineChars="200"/>
        <w:rPr>
          <w:rFonts w:ascii="Times New Roman" w:hAnsi="Times New Roman" w:eastAsia="宋体" w:cs="Times New Roman"/>
        </w:rPr>
      </w:pPr>
      <w:r>
        <w:rPr>
          <w:rFonts w:hint="eastAsia" w:ascii="Times New Roman" w:hAnsi="Times New Roman" w:eastAsia="宋体" w:cs="Times New Roman"/>
        </w:rPr>
        <w:t>信息技术的发展无疑给生物化学的课程改革提供了有效且便利的技术手段。随着信息化的发展，为有效促进生物化学课程内容的掌握，授课教师们无论是理论教学还是实验操作都开始了将信息化手段应用于教学实践中。刘伟才（2016）在生物化学课堂上通过电脑技术，将生物化学课程中的知识点进行组合，学生根据自身的实际认知水平与特色化学习模式去挑选恰当的学习内容，自主决定学习进度，培养学生的创造性思维与发散思维</w:t>
      </w:r>
      <w:r>
        <w:rPr>
          <w:rFonts w:hint="eastAsia" w:ascii="Times New Roman" w:hAnsi="Times New Roman" w:eastAsia="宋体" w:cs="Times New Roman"/>
          <w:vertAlign w:val="superscript"/>
        </w:rPr>
        <w:t>[</w:t>
      </w:r>
      <w:r>
        <w:rPr>
          <w:rFonts w:ascii="Times New Roman" w:hAnsi="Times New Roman" w:eastAsia="宋体" w:cs="Times New Roman"/>
          <w:vertAlign w:val="superscript"/>
        </w:rPr>
        <w:t>3]</w:t>
      </w:r>
      <w:r>
        <w:rPr>
          <w:rFonts w:hint="eastAsia" w:ascii="Times New Roman" w:hAnsi="Times New Roman" w:eastAsia="宋体" w:cs="Times New Roman"/>
        </w:rPr>
        <w:t>。赵婷（2018）利用基于移动互联网的手机个性化学习APP——蓝墨云班课，将其作为生物化学课程讲授重要的教学助手和数字化课程资源，突破了以往教学过程中时间与空间的限制，收到良好的教学效果</w:t>
      </w:r>
      <w:r>
        <w:rPr>
          <w:rFonts w:hint="eastAsia" w:ascii="Times New Roman" w:hAnsi="Times New Roman" w:eastAsia="宋体" w:cs="Times New Roman"/>
          <w:vertAlign w:val="superscript"/>
        </w:rPr>
        <w:t>[</w:t>
      </w:r>
      <w:r>
        <w:rPr>
          <w:rFonts w:ascii="Times New Roman" w:hAnsi="Times New Roman" w:eastAsia="宋体" w:cs="Times New Roman"/>
          <w:vertAlign w:val="superscript"/>
        </w:rPr>
        <w:t>4]</w:t>
      </w:r>
      <w:r>
        <w:rPr>
          <w:rFonts w:hint="eastAsia" w:ascii="Times New Roman" w:hAnsi="Times New Roman" w:eastAsia="宋体" w:cs="Times New Roman"/>
        </w:rPr>
        <w:t>。周大祥等（2018）在《生物化学》的授课过程中同样采用了蓝墨科技公司的云班课这款APP，将该课程教学设计为包括课前、中、后等内容的五个部分，提高了学生的学习兴趣，延长了有效学习时间，缩短了教师与学生的距离</w:t>
      </w:r>
      <w:r>
        <w:rPr>
          <w:rFonts w:hint="eastAsia" w:ascii="Times New Roman" w:hAnsi="Times New Roman" w:eastAsia="宋体" w:cs="Times New Roman"/>
          <w:vertAlign w:val="superscript"/>
        </w:rPr>
        <w:t>[</w:t>
      </w:r>
      <w:r>
        <w:rPr>
          <w:rFonts w:ascii="Times New Roman" w:hAnsi="Times New Roman" w:eastAsia="宋体" w:cs="Times New Roman"/>
          <w:vertAlign w:val="superscript"/>
        </w:rPr>
        <w:t>5]</w:t>
      </w:r>
      <w:r>
        <w:rPr>
          <w:rFonts w:hint="eastAsia" w:ascii="Times New Roman" w:hAnsi="Times New Roman" w:eastAsia="宋体" w:cs="Times New Roman"/>
        </w:rPr>
        <w:t>。丁海麦等（2016）则将微课和虚拟仿真实验等信息化手段，应用于生物化学与分子生物学实验技术课程教学，突破诸多传统实验教学条件的限制，起到很好的学习效果</w:t>
      </w:r>
      <w:r>
        <w:rPr>
          <w:rFonts w:hint="eastAsia" w:ascii="Times New Roman" w:hAnsi="Times New Roman" w:eastAsia="宋体" w:cs="Times New Roman"/>
          <w:vertAlign w:val="superscript"/>
        </w:rPr>
        <w:t>[</w:t>
      </w:r>
      <w:r>
        <w:rPr>
          <w:rFonts w:ascii="Times New Roman" w:hAnsi="Times New Roman" w:eastAsia="宋体" w:cs="Times New Roman"/>
          <w:vertAlign w:val="superscript"/>
        </w:rPr>
        <w:t>6]</w:t>
      </w:r>
      <w:r>
        <w:rPr>
          <w:rFonts w:hint="eastAsia" w:ascii="Times New Roman" w:hAnsi="Times New Roman" w:eastAsia="宋体" w:cs="Times New Roman"/>
        </w:rPr>
        <w:t>。综上，当时的信息技术在食品生物化学课程建设中应用的主要途径为纯信息技术的APP及虚拟手段，其对课堂上的网络也提出较高的要求，同时当前的研究过于依赖于信息技术，未进行线上与线下有效统一的综合探讨。</w:t>
      </w:r>
    </w:p>
    <w:p>
      <w:pPr>
        <w:spacing w:line="400" w:lineRule="exact"/>
        <w:ind w:firstLine="420" w:firstLineChars="200"/>
        <w:rPr>
          <w:rFonts w:ascii="Times New Roman" w:hAnsi="Times New Roman" w:eastAsia="宋体" w:cs="Times New Roman"/>
        </w:rPr>
      </w:pPr>
      <w:r>
        <w:rPr>
          <w:rFonts w:hint="eastAsia" w:ascii="Times New Roman" w:hAnsi="Times New Roman" w:eastAsia="宋体" w:cs="Times New Roman"/>
        </w:rPr>
        <w:t>由于混合式教学将传统课堂教学（C－Learning）和网络教学（E－Learning）的优势相结合，学生能充分利用各类教学资源，利用教师创建的教学环境，自由、自主地开展学习，扩展知识面，发挥学生的主体作用，培养学生的积极性和创造性，教师起到引导、支持、监督的作用。因此开展《食品生物化学》混合式课程建设，将可以有效解决该门课程内容繁杂难以掌握，学生接受程度不一致等问题，为学生深入掌握课程内容，提高教学效果提供很好的保证，同时丰富的网络资源可以为准备考研的同学复习专业课时提供了资源上的便捷，从而真正体现“以学生为主体，以教师为主导”的教学理念。</w:t>
      </w:r>
    </w:p>
    <w:p>
      <w:pPr>
        <w:pStyle w:val="21"/>
        <w:numPr>
          <w:ilvl w:val="0"/>
          <w:numId w:val="1"/>
        </w:numPr>
        <w:spacing w:line="400" w:lineRule="exact"/>
        <w:ind w:firstLineChars="0"/>
        <w:jc w:val="left"/>
        <w:rPr>
          <w:rFonts w:ascii="Times New Roman" w:hAnsi="Times New Roman" w:cs="Times New Roman"/>
          <w:b/>
          <w:szCs w:val="21"/>
        </w:rPr>
      </w:pPr>
      <w:r>
        <w:rPr>
          <w:rFonts w:hint="eastAsia" w:ascii="Times New Roman" w:hAnsi="Times New Roman" w:cs="Times New Roman"/>
          <w:b/>
          <w:szCs w:val="21"/>
        </w:rPr>
        <w:t>食品生物化学</w:t>
      </w:r>
      <w:r>
        <w:rPr>
          <w:rFonts w:ascii="Times New Roman" w:hAnsi="Times New Roman" w:cs="Times New Roman"/>
          <w:b/>
          <w:szCs w:val="21"/>
        </w:rPr>
        <w:t>课程开展混合式教学</w:t>
      </w:r>
      <w:r>
        <w:rPr>
          <w:rFonts w:hint="eastAsia" w:ascii="Times New Roman" w:hAnsi="Times New Roman" w:cs="Times New Roman"/>
          <w:b/>
          <w:szCs w:val="21"/>
        </w:rPr>
        <w:t>的</w:t>
      </w:r>
      <w:r>
        <w:rPr>
          <w:rFonts w:ascii="Times New Roman" w:hAnsi="Times New Roman" w:cs="Times New Roman"/>
          <w:b/>
          <w:szCs w:val="21"/>
        </w:rPr>
        <w:t>必要性</w:t>
      </w:r>
    </w:p>
    <w:p>
      <w:pPr>
        <w:spacing w:line="400" w:lineRule="exact"/>
        <w:ind w:firstLine="420" w:firstLineChars="200"/>
        <w:rPr>
          <w:rFonts w:ascii="Times New Roman" w:hAnsi="Times New Roman" w:eastAsia="宋体" w:cs="Times New Roman"/>
        </w:rPr>
      </w:pPr>
      <w:r>
        <w:rPr>
          <w:rFonts w:hint="eastAsia" w:ascii="Times New Roman" w:hAnsi="Times New Roman" w:eastAsia="宋体" w:cs="Times New Roman"/>
        </w:rPr>
        <w:t>食品生物化学是我校食品质量与安全专业学生最早接触的专业基础课程，经过教研室持续的课程建设，课程体系经过了重新进行了梳理和整合，理论和实验两部分，其中理论部分45学时，实验部分30学时，安排于大一下学期开设。</w:t>
      </w:r>
    </w:p>
    <w:p>
      <w:pPr>
        <w:spacing w:line="400" w:lineRule="exact"/>
        <w:ind w:left="420"/>
        <w:jc w:val="left"/>
        <w:rPr>
          <w:rFonts w:ascii="Times New Roman" w:hAnsi="Times New Roman" w:cs="Times New Roman"/>
          <w:b/>
          <w:szCs w:val="21"/>
        </w:rPr>
      </w:pPr>
      <w:r>
        <w:rPr>
          <w:rFonts w:ascii="Times New Roman" w:hAnsi="Times New Roman" w:cs="Times New Roman"/>
          <w:b/>
          <w:szCs w:val="21"/>
        </w:rPr>
        <w:t>（</w:t>
      </w:r>
      <w:r>
        <w:rPr>
          <w:rFonts w:hint="eastAsia" w:ascii="Times New Roman" w:hAnsi="Times New Roman" w:cs="Times New Roman"/>
          <w:b/>
          <w:szCs w:val="21"/>
        </w:rPr>
        <w:t>一）混合式教学是弥补食品生物化学课时严重的不足的重要手段</w:t>
      </w:r>
    </w:p>
    <w:p>
      <w:pPr>
        <w:spacing w:line="400" w:lineRule="exact"/>
        <w:ind w:firstLine="420" w:firstLineChars="200"/>
        <w:rPr>
          <w:rFonts w:ascii="Times New Roman" w:hAnsi="Times New Roman" w:eastAsia="宋体" w:cs="Times New Roman"/>
        </w:rPr>
      </w:pPr>
      <w:r>
        <w:rPr>
          <w:rFonts w:hint="eastAsia" w:ascii="Times New Roman" w:hAnsi="Times New Roman" w:eastAsia="宋体" w:cs="Times New Roman"/>
        </w:rPr>
        <w:t>“内容多”“课时少”“难度大”是食品生物化学课程最重要的特点。由于食品生物化学课程具有知识点枯燥复杂、学习内容不易理解的特点，同时在学分制改革的背景下，同很多课程一样，该课程也存在课时明显不足的问题，因此，在传统理论教学的环境下，每节课学生都有较繁重的课程任务。同时，由于课程知识点之间连贯性较强，课上必须集中精力才能跟上老师的授课节奏，给学生造成了很大的学习压力，不少学生在努力上完几节课后就有放弃的想法。混合式教学则充分利用网络平台，将繁重的课程任务拆解，将45分钟课的课堂内容分散于课前、课中、课后三个阶段来完成，线上的学习学生可以自由选择时间进行，也可以多次重复学习，极大程度地减轻了课上学习的压力，学生也更有信心的完成本课程学习任务。</w:t>
      </w:r>
    </w:p>
    <w:p>
      <w:pPr>
        <w:spacing w:line="400" w:lineRule="exact"/>
        <w:ind w:left="420"/>
        <w:jc w:val="left"/>
        <w:rPr>
          <w:rFonts w:ascii="Times New Roman" w:hAnsi="Times New Roman" w:cs="Times New Roman"/>
          <w:b/>
          <w:szCs w:val="21"/>
        </w:rPr>
      </w:pPr>
      <w:r>
        <w:rPr>
          <w:rFonts w:ascii="Times New Roman" w:hAnsi="Times New Roman" w:cs="Times New Roman"/>
          <w:b/>
          <w:szCs w:val="21"/>
        </w:rPr>
        <w:t>（</w:t>
      </w:r>
      <w:r>
        <w:rPr>
          <w:rFonts w:hint="eastAsia" w:ascii="Times New Roman" w:hAnsi="Times New Roman" w:cs="Times New Roman"/>
          <w:b/>
          <w:szCs w:val="21"/>
        </w:rPr>
        <w:t>二）混合式教学有助于满足不同学习能力学生的需求</w:t>
      </w:r>
    </w:p>
    <w:p>
      <w:pPr>
        <w:spacing w:line="400" w:lineRule="exact"/>
        <w:ind w:firstLine="420" w:firstLineChars="200"/>
        <w:rPr>
          <w:rFonts w:ascii="Times New Roman" w:hAnsi="Times New Roman" w:eastAsia="宋体" w:cs="Times New Roman"/>
        </w:rPr>
      </w:pPr>
      <w:r>
        <w:rPr>
          <w:rFonts w:hint="eastAsia" w:ascii="Times New Roman" w:hAnsi="Times New Roman" w:eastAsia="宋体" w:cs="Times New Roman"/>
        </w:rPr>
        <w:t>食品生物化学是食品质量与安全专业的专业基础课，该课程需要化学课程作为基础，同时该课程本身又为后续食品化学、食品营养学及分子生物学等专业课程打下专业基础，在课程体系中起着重要的承上启下的重要作用。因此该门课程的学习效果对学生整体专业课程的学习都起着非常重要的作用。但在实际授课过程中，学生们基础水平不一，接受能力差别较大，而且在当前高考政策改革的背景下，这个问题在未来的教学中会更加突出，因此课堂上如果掌握合理的授课速度是任课教师面临的最大的问题。开展混合式教学，可以通过网络资源拉齐学生基础，课前预习又可以让学生提前学习课程内容，减轻学习能力稍弱或基础稍差同学的课堂压力，同时丰富的扩展性内容可为学有余力的同学提供丰富的可深入学习的资源，即作让不同层次学生“吃得饱”、“不掉队”。</w:t>
      </w:r>
    </w:p>
    <w:p>
      <w:pPr>
        <w:spacing w:line="400" w:lineRule="exact"/>
        <w:ind w:left="420"/>
        <w:jc w:val="left"/>
        <w:rPr>
          <w:rFonts w:ascii="Times New Roman" w:hAnsi="Times New Roman" w:cs="Times New Roman"/>
          <w:b/>
          <w:szCs w:val="21"/>
        </w:rPr>
      </w:pPr>
      <w:r>
        <w:rPr>
          <w:rFonts w:ascii="Times New Roman" w:hAnsi="Times New Roman" w:cs="Times New Roman"/>
          <w:b/>
          <w:szCs w:val="21"/>
        </w:rPr>
        <w:t>（</w:t>
      </w:r>
      <w:r>
        <w:rPr>
          <w:rFonts w:hint="eastAsia" w:ascii="Times New Roman" w:hAnsi="Times New Roman" w:cs="Times New Roman"/>
          <w:b/>
          <w:szCs w:val="21"/>
        </w:rPr>
        <w:t>三）混合式教学有助于学生良好学习习惯的养成</w:t>
      </w:r>
    </w:p>
    <w:p>
      <w:pPr>
        <w:spacing w:line="400" w:lineRule="exact"/>
        <w:ind w:firstLine="420" w:firstLineChars="200"/>
        <w:rPr>
          <w:rFonts w:ascii="Times New Roman" w:hAnsi="Times New Roman" w:eastAsia="宋体" w:cs="Times New Roman"/>
        </w:rPr>
      </w:pPr>
      <w:r>
        <w:rPr>
          <w:rFonts w:hint="eastAsia" w:ascii="Times New Roman" w:hAnsi="Times New Roman" w:eastAsia="宋体" w:cs="Times New Roman"/>
        </w:rPr>
        <w:t>“授人以鱼不如授人以渔”，教育的目的除了让学生掌握专业知识之外，教会学生如何学习也是一个重要的方面。传统的课堂，学生主要是知识的被动接受者，填充式的教育方式并不有利于学生对课程内容的把握。混合式教学使学生充分发挥学习能动性，最大程度地调动学生学习的主动性，课前小测及课后讨论等环节可督促学生及时进行预习复习，从而帮助国学生主动学习习惯的养成。</w:t>
      </w:r>
    </w:p>
    <w:p>
      <w:pPr>
        <w:spacing w:line="400" w:lineRule="exact"/>
        <w:ind w:firstLine="420" w:firstLineChars="200"/>
        <w:jc w:val="left"/>
        <w:rPr>
          <w:rFonts w:ascii="Times New Roman" w:hAnsi="Times New Roman" w:cs="Times New Roman"/>
          <w:b/>
          <w:szCs w:val="21"/>
        </w:rPr>
      </w:pPr>
      <w:r>
        <w:rPr>
          <w:rFonts w:hint="eastAsia" w:ascii="Times New Roman" w:hAnsi="Times New Roman" w:cs="Times New Roman"/>
          <w:b/>
          <w:szCs w:val="21"/>
        </w:rPr>
        <w:t>二、食品生物化学课程混合式教学改革设计</w:t>
      </w:r>
    </w:p>
    <w:p>
      <w:pPr>
        <w:spacing w:line="400" w:lineRule="exact"/>
        <w:ind w:left="420"/>
        <w:jc w:val="left"/>
        <w:rPr>
          <w:rFonts w:ascii="Times New Roman" w:hAnsi="Times New Roman" w:cs="Times New Roman"/>
          <w:b/>
          <w:szCs w:val="21"/>
        </w:rPr>
      </w:pPr>
      <w:r>
        <w:rPr>
          <w:rFonts w:ascii="Times New Roman" w:hAnsi="Times New Roman" w:cs="Times New Roman"/>
          <w:b/>
          <w:szCs w:val="21"/>
        </w:rPr>
        <w:t>（</w:t>
      </w:r>
      <w:r>
        <w:rPr>
          <w:rFonts w:hint="eastAsia" w:ascii="Times New Roman" w:hAnsi="Times New Roman" w:cs="Times New Roman"/>
          <w:b/>
          <w:szCs w:val="21"/>
        </w:rPr>
        <w:t>一）课程建设目标</w:t>
      </w:r>
    </w:p>
    <w:p>
      <w:pPr>
        <w:spacing w:line="400" w:lineRule="exact"/>
        <w:ind w:firstLine="420" w:firstLineChars="200"/>
        <w:rPr>
          <w:rFonts w:ascii="Times New Roman" w:hAnsi="Times New Roman" w:eastAsia="宋体" w:cs="Times New Roman"/>
        </w:rPr>
      </w:pPr>
      <w:r>
        <w:rPr>
          <w:rFonts w:hint="eastAsia" w:ascii="Times New Roman" w:hAnsi="Times New Roman" w:eastAsia="宋体" w:cs="Times New Roman"/>
        </w:rPr>
        <w:t>食品生物</w:t>
      </w:r>
      <w:r>
        <w:rPr>
          <w:rFonts w:ascii="Times New Roman" w:hAnsi="Times New Roman" w:eastAsia="宋体" w:cs="Times New Roman"/>
        </w:rPr>
        <w:t>化学课程是</w:t>
      </w:r>
      <w:r>
        <w:rPr>
          <w:rFonts w:hint="eastAsia" w:ascii="Times New Roman" w:hAnsi="Times New Roman" w:eastAsia="宋体" w:cs="Times New Roman"/>
        </w:rPr>
        <w:t>食品质量与安全</w:t>
      </w:r>
      <w:r>
        <w:rPr>
          <w:rFonts w:ascii="Times New Roman" w:hAnsi="Times New Roman" w:eastAsia="宋体" w:cs="Times New Roman"/>
        </w:rPr>
        <w:t>专业学生必修的</w:t>
      </w:r>
      <w:r>
        <w:rPr>
          <w:rFonts w:hint="eastAsia" w:ascii="Times New Roman" w:hAnsi="Times New Roman" w:eastAsia="宋体" w:cs="Times New Roman"/>
        </w:rPr>
        <w:t>专业基础</w:t>
      </w:r>
      <w:r>
        <w:rPr>
          <w:rFonts w:ascii="Times New Roman" w:hAnsi="Times New Roman" w:eastAsia="宋体" w:cs="Times New Roman"/>
        </w:rPr>
        <w:t>课程之一</w:t>
      </w:r>
      <w:r>
        <w:rPr>
          <w:rFonts w:hint="eastAsia" w:ascii="Times New Roman" w:hAnsi="Times New Roman" w:eastAsia="宋体" w:cs="Times New Roman"/>
        </w:rPr>
        <w:t>。</w:t>
      </w:r>
      <w:r>
        <w:rPr>
          <w:rFonts w:ascii="Times New Roman" w:hAnsi="Times New Roman" w:eastAsia="宋体" w:cs="Times New Roman"/>
        </w:rPr>
        <w:t>通过本课</w:t>
      </w:r>
      <w:r>
        <w:rPr>
          <w:rFonts w:hint="eastAsia" w:ascii="Times New Roman" w:hAnsi="Times New Roman" w:eastAsia="宋体" w:cs="Times New Roman"/>
        </w:rPr>
        <w:t>题建设，学生能够充分利用各种线上资源，进行</w:t>
      </w:r>
      <w:r>
        <w:rPr>
          <w:rFonts w:ascii="Times New Roman" w:hAnsi="Times New Roman" w:eastAsia="宋体" w:cs="Times New Roman"/>
        </w:rPr>
        <w:t>基本的</w:t>
      </w:r>
      <w:r>
        <w:rPr>
          <w:rFonts w:hint="eastAsia" w:ascii="Times New Roman" w:hAnsi="Times New Roman" w:eastAsia="宋体" w:cs="Times New Roman"/>
        </w:rPr>
        <w:t>生物</w:t>
      </w:r>
      <w:r>
        <w:rPr>
          <w:rFonts w:ascii="Times New Roman" w:hAnsi="Times New Roman" w:eastAsia="宋体" w:cs="Times New Roman"/>
        </w:rPr>
        <w:t>分子</w:t>
      </w:r>
      <w:r>
        <w:rPr>
          <w:rFonts w:hint="eastAsia" w:ascii="Times New Roman" w:hAnsi="Times New Roman" w:eastAsia="宋体" w:cs="Times New Roman"/>
        </w:rPr>
        <w:t>如糖</w:t>
      </w:r>
      <w:r>
        <w:rPr>
          <w:rFonts w:ascii="Times New Roman" w:hAnsi="Times New Roman" w:eastAsia="宋体" w:cs="Times New Roman"/>
        </w:rPr>
        <w:t>、脂质</w:t>
      </w:r>
      <w:r>
        <w:rPr>
          <w:rFonts w:hint="eastAsia" w:ascii="Times New Roman" w:hAnsi="Times New Roman" w:eastAsia="宋体" w:cs="Times New Roman"/>
        </w:rPr>
        <w:t>、</w:t>
      </w:r>
      <w:r>
        <w:rPr>
          <w:rFonts w:ascii="Times New Roman" w:hAnsi="Times New Roman" w:eastAsia="宋体" w:cs="Times New Roman"/>
        </w:rPr>
        <w:t>蛋白质、酶</w:t>
      </w:r>
      <w:r>
        <w:rPr>
          <w:rFonts w:hint="eastAsia" w:ascii="Times New Roman" w:hAnsi="Times New Roman" w:eastAsia="宋体" w:cs="Times New Roman"/>
        </w:rPr>
        <w:t>、维生素</w:t>
      </w:r>
      <w:r>
        <w:rPr>
          <w:rFonts w:ascii="Times New Roman" w:hAnsi="Times New Roman" w:eastAsia="宋体" w:cs="Times New Roman"/>
        </w:rPr>
        <w:t>和核酸的结构</w:t>
      </w:r>
      <w:r>
        <w:rPr>
          <w:rFonts w:hint="eastAsia" w:ascii="Times New Roman" w:hAnsi="Times New Roman" w:eastAsia="宋体" w:cs="Times New Roman"/>
        </w:rPr>
        <w:t>、</w:t>
      </w:r>
      <w:r>
        <w:rPr>
          <w:rFonts w:ascii="Times New Roman" w:hAnsi="Times New Roman" w:eastAsia="宋体" w:cs="Times New Roman"/>
        </w:rPr>
        <w:t>性质和功能</w:t>
      </w:r>
      <w:r>
        <w:rPr>
          <w:rFonts w:hint="eastAsia" w:ascii="Times New Roman" w:hAnsi="Times New Roman" w:eastAsia="宋体" w:cs="Times New Roman"/>
        </w:rPr>
        <w:t>的基础知识的课前预习及课后复习，总结糖</w:t>
      </w:r>
      <w:r>
        <w:rPr>
          <w:rFonts w:ascii="Times New Roman" w:hAnsi="Times New Roman" w:eastAsia="宋体" w:cs="Times New Roman"/>
        </w:rPr>
        <w:t>、蛋白质、脂质代谢</w:t>
      </w:r>
      <w:r>
        <w:rPr>
          <w:rFonts w:hint="eastAsia" w:ascii="Times New Roman" w:hAnsi="Times New Roman" w:eastAsia="宋体" w:cs="Times New Roman"/>
        </w:rPr>
        <w:t>途径及</w:t>
      </w:r>
      <w:r>
        <w:rPr>
          <w:rFonts w:ascii="Times New Roman" w:hAnsi="Times New Roman" w:eastAsia="宋体" w:cs="Times New Roman"/>
        </w:rPr>
        <w:t>调控机</w:t>
      </w:r>
      <w:r>
        <w:rPr>
          <w:rFonts w:hint="eastAsia" w:ascii="Times New Roman" w:hAnsi="Times New Roman" w:eastAsia="宋体" w:cs="Times New Roman"/>
        </w:rPr>
        <w:t>理关系，掌握生物化学相关的基础实验技能，通过线上线下的学习，达到掌握课程内容的目的。</w:t>
      </w:r>
    </w:p>
    <w:p>
      <w:pPr>
        <w:spacing w:line="400" w:lineRule="exact"/>
        <w:ind w:firstLine="420" w:firstLineChars="200"/>
        <w:rPr>
          <w:rFonts w:ascii="Times New Roman" w:hAnsi="Times New Roman" w:eastAsia="宋体" w:cs="Times New Roman"/>
        </w:rPr>
      </w:pPr>
      <w:r>
        <w:rPr>
          <w:rFonts w:hint="eastAsia" w:ascii="Times New Roman" w:hAnsi="Times New Roman" w:eastAsia="宋体" w:cs="Times New Roman"/>
        </w:rPr>
        <w:t>（1）</w:t>
      </w:r>
      <w:r>
        <w:rPr>
          <w:rFonts w:ascii="Times New Roman" w:hAnsi="Times New Roman" w:eastAsia="宋体" w:cs="Times New Roman"/>
        </w:rPr>
        <w:t>知识目标：</w:t>
      </w:r>
    </w:p>
    <w:p>
      <w:pPr>
        <w:spacing w:line="400" w:lineRule="exact"/>
        <w:ind w:firstLine="420" w:firstLineChars="200"/>
        <w:rPr>
          <w:rFonts w:ascii="Times New Roman" w:hAnsi="Times New Roman" w:eastAsia="宋体" w:cs="Times New Roman"/>
        </w:rPr>
      </w:pPr>
      <w:r>
        <w:rPr>
          <w:rFonts w:hint="eastAsia" w:ascii="Times New Roman" w:hAnsi="Times New Roman" w:eastAsia="宋体" w:cs="Times New Roman"/>
        </w:rPr>
        <w:t>1．学生</w:t>
      </w:r>
      <w:r>
        <w:rPr>
          <w:rFonts w:ascii="Times New Roman" w:hAnsi="Times New Roman" w:eastAsia="宋体" w:cs="Times New Roman"/>
        </w:rPr>
        <w:t>能够</w:t>
      </w:r>
      <w:r>
        <w:rPr>
          <w:rFonts w:hint="eastAsia" w:ascii="Times New Roman" w:hAnsi="Times New Roman" w:eastAsia="宋体" w:cs="Times New Roman"/>
        </w:rPr>
        <w:t>记忆基本生物分子的结构、性质和功能；</w:t>
      </w:r>
    </w:p>
    <w:p>
      <w:pPr>
        <w:spacing w:line="400" w:lineRule="exact"/>
        <w:ind w:firstLine="420" w:firstLineChars="200"/>
        <w:rPr>
          <w:rFonts w:ascii="Times New Roman" w:hAnsi="Times New Roman" w:eastAsia="宋体" w:cs="Times New Roman"/>
        </w:rPr>
      </w:pPr>
      <w:r>
        <w:rPr>
          <w:rFonts w:hint="eastAsia" w:ascii="Times New Roman" w:hAnsi="Times New Roman" w:eastAsia="宋体" w:cs="Times New Roman"/>
        </w:rPr>
        <w:t>2．学生</w:t>
      </w:r>
      <w:r>
        <w:rPr>
          <w:rFonts w:ascii="Times New Roman" w:hAnsi="Times New Roman" w:eastAsia="宋体" w:cs="Times New Roman"/>
        </w:rPr>
        <w:t>能够</w:t>
      </w:r>
      <w:r>
        <w:rPr>
          <w:rFonts w:hint="eastAsia" w:ascii="Times New Roman" w:hAnsi="Times New Roman" w:eastAsia="宋体" w:cs="Times New Roman"/>
        </w:rPr>
        <w:t>学会糖、脂、蛋白质等生物分子在体内的代谢途径和调节；</w:t>
      </w:r>
    </w:p>
    <w:p>
      <w:pPr>
        <w:spacing w:line="400" w:lineRule="exact"/>
        <w:ind w:firstLine="420" w:firstLineChars="200"/>
        <w:rPr>
          <w:rFonts w:ascii="Times New Roman" w:hAnsi="Times New Roman" w:eastAsia="宋体" w:cs="Times New Roman"/>
        </w:rPr>
      </w:pPr>
      <w:r>
        <w:rPr>
          <w:rFonts w:hint="eastAsia" w:ascii="Times New Roman" w:hAnsi="Times New Roman" w:eastAsia="宋体" w:cs="Times New Roman"/>
        </w:rPr>
        <w:t>3．学生</w:t>
      </w:r>
      <w:r>
        <w:rPr>
          <w:rFonts w:ascii="Times New Roman" w:hAnsi="Times New Roman" w:eastAsia="宋体" w:cs="Times New Roman"/>
        </w:rPr>
        <w:t>能够解释</w:t>
      </w:r>
      <w:r>
        <w:rPr>
          <w:rFonts w:hint="eastAsia" w:ascii="Times New Roman" w:hAnsi="Times New Roman" w:eastAsia="宋体" w:cs="Times New Roman"/>
        </w:rPr>
        <w:t>生物能的转化和利用方式</w:t>
      </w:r>
      <w:r>
        <w:rPr>
          <w:rFonts w:ascii="Times New Roman" w:hAnsi="Times New Roman" w:eastAsia="宋体" w:cs="Times New Roman"/>
        </w:rPr>
        <w:t>。</w:t>
      </w:r>
    </w:p>
    <w:p>
      <w:pPr>
        <w:spacing w:line="400" w:lineRule="exact"/>
        <w:ind w:firstLine="420" w:firstLineChars="200"/>
        <w:rPr>
          <w:rFonts w:ascii="Times New Roman" w:hAnsi="Times New Roman" w:eastAsia="宋体" w:cs="Times New Roman"/>
        </w:rPr>
      </w:pPr>
      <w:r>
        <w:rPr>
          <w:rFonts w:hint="eastAsia" w:ascii="Times New Roman" w:hAnsi="Times New Roman" w:eastAsia="宋体" w:cs="Times New Roman"/>
        </w:rPr>
        <w:t>（2）</w:t>
      </w:r>
      <w:r>
        <w:rPr>
          <w:rFonts w:ascii="Times New Roman" w:hAnsi="Times New Roman" w:eastAsia="宋体" w:cs="Times New Roman"/>
        </w:rPr>
        <w:t>技能目标：</w:t>
      </w:r>
    </w:p>
    <w:p>
      <w:pPr>
        <w:spacing w:line="400" w:lineRule="exact"/>
        <w:ind w:firstLine="420" w:firstLineChars="200"/>
        <w:rPr>
          <w:rFonts w:ascii="Times New Roman" w:hAnsi="Times New Roman" w:eastAsia="宋体" w:cs="Times New Roman"/>
        </w:rPr>
      </w:pPr>
      <w:r>
        <w:rPr>
          <w:rFonts w:hint="eastAsia" w:ascii="Times New Roman" w:hAnsi="Times New Roman" w:eastAsia="宋体" w:cs="Times New Roman"/>
        </w:rPr>
        <w:t>食品生物</w:t>
      </w:r>
      <w:r>
        <w:rPr>
          <w:rFonts w:ascii="Times New Roman" w:hAnsi="Times New Roman" w:eastAsia="宋体" w:cs="Times New Roman"/>
        </w:rPr>
        <w:t>化学是一门实验性科学，因此在掌握相关理论知识的同时还需要掌握</w:t>
      </w:r>
      <w:r>
        <w:rPr>
          <w:rFonts w:hint="eastAsia" w:ascii="Times New Roman" w:hAnsi="Times New Roman" w:eastAsia="宋体" w:cs="Times New Roman"/>
        </w:rPr>
        <w:t>生物化学</w:t>
      </w:r>
      <w:r>
        <w:rPr>
          <w:rFonts w:ascii="Times New Roman" w:hAnsi="Times New Roman" w:eastAsia="宋体" w:cs="Times New Roman"/>
        </w:rPr>
        <w:t>蛋白的诱导表达</w:t>
      </w:r>
      <w:r>
        <w:rPr>
          <w:rFonts w:hint="eastAsia" w:ascii="Times New Roman" w:hAnsi="Times New Roman" w:eastAsia="宋体" w:cs="Times New Roman"/>
        </w:rPr>
        <w:t>、提取、纯化及含量测定等实验技术。</w:t>
      </w:r>
    </w:p>
    <w:p>
      <w:pPr>
        <w:spacing w:line="400" w:lineRule="exact"/>
        <w:ind w:firstLine="420" w:firstLineChars="200"/>
        <w:rPr>
          <w:rFonts w:ascii="Times New Roman" w:hAnsi="Times New Roman" w:eastAsia="宋体" w:cs="Times New Roman"/>
        </w:rPr>
      </w:pPr>
      <w:r>
        <w:rPr>
          <w:rFonts w:hint="eastAsia" w:ascii="Times New Roman" w:hAnsi="Times New Roman" w:eastAsia="宋体" w:cs="Times New Roman"/>
        </w:rPr>
        <w:t>（3）</w:t>
      </w:r>
      <w:r>
        <w:rPr>
          <w:rFonts w:ascii="Times New Roman" w:hAnsi="Times New Roman" w:eastAsia="宋体" w:cs="Times New Roman"/>
        </w:rPr>
        <w:t>素质目标：</w:t>
      </w:r>
    </w:p>
    <w:p>
      <w:pPr>
        <w:spacing w:line="400" w:lineRule="exact"/>
        <w:ind w:firstLine="420" w:firstLineChars="200"/>
        <w:rPr>
          <w:rFonts w:ascii="Times New Roman" w:hAnsi="Times New Roman" w:eastAsia="宋体" w:cs="Times New Roman"/>
        </w:rPr>
      </w:pPr>
      <w:r>
        <w:rPr>
          <w:rFonts w:hint="eastAsia" w:ascii="Times New Roman" w:hAnsi="Times New Roman" w:eastAsia="宋体" w:cs="Times New Roman"/>
        </w:rPr>
        <w:t>1．通过线上线下混合学习，端正学生学习态度，培养学生良好的学习习惯；</w:t>
      </w:r>
    </w:p>
    <w:p>
      <w:pPr>
        <w:spacing w:line="400" w:lineRule="exact"/>
        <w:ind w:firstLine="420" w:firstLineChars="200"/>
        <w:rPr>
          <w:rFonts w:ascii="Times New Roman" w:hAnsi="Times New Roman" w:eastAsia="宋体" w:cs="Times New Roman"/>
        </w:rPr>
      </w:pPr>
      <w:r>
        <w:rPr>
          <w:rFonts w:hint="eastAsia" w:ascii="Times New Roman" w:hAnsi="Times New Roman" w:eastAsia="宋体" w:cs="Times New Roman"/>
        </w:rPr>
        <w:t>2．通过列表归纳、分组讨论等方法进行合作学习，培养学生的总结能力及合作意识；</w:t>
      </w:r>
    </w:p>
    <w:p>
      <w:pPr>
        <w:spacing w:line="400" w:lineRule="exact"/>
        <w:ind w:firstLine="420" w:firstLineChars="200"/>
        <w:rPr>
          <w:rFonts w:ascii="Times New Roman" w:hAnsi="Times New Roman" w:eastAsia="宋体" w:cs="Times New Roman"/>
        </w:rPr>
      </w:pPr>
      <w:r>
        <w:rPr>
          <w:rFonts w:hint="eastAsia" w:ascii="Times New Roman" w:hAnsi="Times New Roman" w:eastAsia="宋体" w:cs="Times New Roman"/>
        </w:rPr>
        <w:t>3．通过</w:t>
      </w:r>
      <w:r>
        <w:rPr>
          <w:rFonts w:ascii="Times New Roman" w:hAnsi="Times New Roman" w:eastAsia="宋体" w:cs="Times New Roman"/>
        </w:rPr>
        <w:t>实验逻辑思维方法</w:t>
      </w:r>
      <w:r>
        <w:rPr>
          <w:rFonts w:hint="eastAsia" w:ascii="Times New Roman" w:hAnsi="Times New Roman" w:eastAsia="宋体" w:cs="Times New Roman"/>
        </w:rPr>
        <w:t>的训练，培养学生的科研思维能力。</w:t>
      </w:r>
    </w:p>
    <w:p>
      <w:pPr>
        <w:spacing w:line="400" w:lineRule="exact"/>
        <w:ind w:left="420"/>
        <w:jc w:val="left"/>
        <w:rPr>
          <w:rFonts w:ascii="Times New Roman" w:hAnsi="Times New Roman" w:cs="Times New Roman"/>
          <w:b/>
          <w:szCs w:val="21"/>
        </w:rPr>
      </w:pPr>
      <w:r>
        <w:drawing>
          <wp:anchor distT="0" distB="0" distL="114300" distR="114300" simplePos="0" relativeHeight="251659264" behindDoc="0" locked="0" layoutInCell="1" allowOverlap="1">
            <wp:simplePos x="0" y="0"/>
            <wp:positionH relativeFrom="margin">
              <wp:align>center</wp:align>
            </wp:positionH>
            <wp:positionV relativeFrom="paragraph">
              <wp:posOffset>471170</wp:posOffset>
            </wp:positionV>
            <wp:extent cx="4765675" cy="2238375"/>
            <wp:effectExtent l="0" t="0" r="0" b="9525"/>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765675" cy="2238375"/>
                    </a:xfrm>
                    <a:prstGeom prst="rect">
                      <a:avLst/>
                    </a:prstGeom>
                  </pic:spPr>
                </pic:pic>
              </a:graphicData>
            </a:graphic>
          </wp:anchor>
        </w:drawing>
      </w:r>
      <w:r>
        <w:rPr>
          <w:rFonts w:hint="eastAsia" w:ascii="Times New Roman" w:hAnsi="Times New Roman" w:cs="Times New Roman"/>
          <w:b/>
          <w:szCs w:val="21"/>
        </w:rPr>
        <w:t>（二）课程建设思路及内容</w:t>
      </w:r>
    </w:p>
    <w:p>
      <w:pPr>
        <w:spacing w:line="400" w:lineRule="exact"/>
        <w:ind w:left="420"/>
        <w:jc w:val="center"/>
        <w:rPr>
          <w:rFonts w:ascii="Times New Roman" w:hAnsi="Times New Roman" w:cs="Times New Roman"/>
          <w:szCs w:val="21"/>
        </w:rPr>
      </w:pPr>
      <w:r>
        <w:rPr>
          <w:rFonts w:hint="eastAsia" w:ascii="Times New Roman" w:hAnsi="Times New Roman" w:cs="Times New Roman"/>
          <w:szCs w:val="21"/>
        </w:rPr>
        <w:t>图1</w:t>
      </w:r>
      <w:r>
        <w:rPr>
          <w:rFonts w:ascii="Times New Roman" w:hAnsi="Times New Roman" w:cs="Times New Roman"/>
          <w:szCs w:val="21"/>
        </w:rPr>
        <w:t xml:space="preserve"> </w:t>
      </w:r>
      <w:r>
        <w:rPr>
          <w:rFonts w:hint="eastAsia" w:ascii="Times New Roman" w:hAnsi="Times New Roman" w:cs="Times New Roman"/>
          <w:szCs w:val="21"/>
        </w:rPr>
        <w:t>食品生物化学课程建设思路</w:t>
      </w:r>
    </w:p>
    <w:p>
      <w:pPr>
        <w:spacing w:line="400" w:lineRule="exact"/>
        <w:ind w:left="420"/>
        <w:jc w:val="left"/>
        <w:rPr>
          <w:rFonts w:ascii="Times New Roman" w:hAnsi="Times New Roman" w:cs="Times New Roman"/>
          <w:b/>
          <w:szCs w:val="21"/>
        </w:rPr>
      </w:pPr>
    </w:p>
    <w:p>
      <w:pPr>
        <w:spacing w:line="400" w:lineRule="exact"/>
        <w:ind w:firstLine="420" w:firstLineChars="200"/>
        <w:rPr>
          <w:rFonts w:ascii="Times New Roman" w:hAnsi="Times New Roman" w:eastAsia="宋体" w:cs="Times New Roman"/>
        </w:rPr>
      </w:pPr>
      <w:r>
        <w:rPr>
          <w:rFonts w:hint="eastAsia" w:ascii="Times New Roman" w:hAnsi="Times New Roman" w:eastAsia="宋体" w:cs="Times New Roman"/>
        </w:rPr>
        <w:t>建设内容包括线上、线下两个模块，课前、课中、课后三个环节，各模块各环节之间互为补充、有效衔接。具体内容为：</w:t>
      </w:r>
    </w:p>
    <w:p>
      <w:pPr>
        <w:spacing w:line="400" w:lineRule="exact"/>
        <w:ind w:firstLine="420" w:firstLineChars="200"/>
        <w:rPr>
          <w:rFonts w:ascii="Times New Roman" w:hAnsi="Times New Roman" w:eastAsia="宋体" w:cs="Times New Roman"/>
        </w:rPr>
      </w:pPr>
      <w:r>
        <w:rPr>
          <w:rFonts w:hint="eastAsia" w:ascii="Times New Roman" w:hAnsi="Times New Roman" w:eastAsia="宋体" w:cs="Times New Roman"/>
        </w:rPr>
        <w:t>混合式教学资源的准备及收集——课题组要准备教学文件及</w:t>
      </w:r>
      <w:r>
        <w:rPr>
          <w:rFonts w:ascii="Times New Roman" w:hAnsi="Times New Roman" w:eastAsia="宋体" w:cs="Times New Roman"/>
        </w:rPr>
        <w:t>教学课件</w:t>
      </w:r>
      <w:r>
        <w:rPr>
          <w:rFonts w:hint="eastAsia" w:ascii="Times New Roman" w:hAnsi="Times New Roman" w:eastAsia="宋体" w:cs="Times New Roman"/>
        </w:rPr>
        <w:t>、录制</w:t>
      </w:r>
      <w:r>
        <w:rPr>
          <w:rFonts w:ascii="Times New Roman" w:hAnsi="Times New Roman" w:eastAsia="宋体" w:cs="Times New Roman"/>
        </w:rPr>
        <w:t>教学视频</w:t>
      </w:r>
      <w:r>
        <w:rPr>
          <w:rFonts w:hint="eastAsia" w:ascii="Times New Roman" w:hAnsi="Times New Roman" w:eastAsia="宋体" w:cs="Times New Roman"/>
        </w:rPr>
        <w:t>及</w:t>
      </w:r>
      <w:r>
        <w:rPr>
          <w:rFonts w:ascii="Times New Roman" w:hAnsi="Times New Roman" w:eastAsia="宋体" w:cs="Times New Roman"/>
        </w:rPr>
        <w:t>实验视频、</w:t>
      </w:r>
      <w:r>
        <w:rPr>
          <w:rFonts w:hint="eastAsia" w:ascii="Times New Roman" w:hAnsi="Times New Roman" w:eastAsia="宋体" w:cs="Times New Roman"/>
        </w:rPr>
        <w:t>收集国内外精品课程视频、建设习题及试题库等混合式教学资源；将混合式教学资源上传到线上支持平台，搭建在线讨论、答疑等学习平台，师生共同熟悉、掌握并熟练应用线上教学平台，以更好的开展教学及学习活动。</w:t>
      </w:r>
    </w:p>
    <w:p>
      <w:pPr>
        <w:spacing w:line="400" w:lineRule="exact"/>
        <w:ind w:firstLine="420" w:firstLineChars="200"/>
        <w:rPr>
          <w:rFonts w:ascii="Times New Roman" w:hAnsi="Times New Roman" w:eastAsia="宋体" w:cs="Times New Roman"/>
        </w:rPr>
      </w:pPr>
      <w:r>
        <w:rPr>
          <w:rFonts w:hint="eastAsia" w:ascii="Times New Roman" w:hAnsi="Times New Roman" w:eastAsia="宋体" w:cs="Times New Roman"/>
        </w:rPr>
        <w:t>课前发布教学资源及学习指南——每单元课前设置单元导学，通过导学，学生可以明确知道各教学环节的学习任务及要求，激发学生求知欲，教师可随时查看每位学生学习情况，对未完成学习活动的学生推送提醒通知，督促学生按照通知完成预习任务，充分调动学生内驱力主动学习。</w:t>
      </w:r>
    </w:p>
    <w:p>
      <w:pPr>
        <w:spacing w:line="400" w:lineRule="exact"/>
        <w:ind w:firstLine="420" w:firstLineChars="200"/>
        <w:rPr>
          <w:rFonts w:ascii="Times New Roman" w:hAnsi="Times New Roman" w:eastAsia="宋体" w:cs="Times New Roman"/>
        </w:rPr>
      </w:pPr>
      <w:r>
        <w:rPr>
          <w:rFonts w:hint="eastAsia" w:ascii="Times New Roman" w:hAnsi="Times New Roman" w:eastAsia="宋体" w:cs="Times New Roman"/>
        </w:rPr>
        <w:t>课中重点问题讲解及讨论答疑——针对学生的课前在线学习情况，课堂上教师针对共性问题答疑解惑，并引出重点、难点供学生分析讨论；</w:t>
      </w:r>
      <w:r>
        <w:rPr>
          <w:rFonts w:ascii="Times New Roman" w:hAnsi="Times New Roman" w:eastAsia="宋体" w:cs="Times New Roman"/>
        </w:rPr>
        <w:t>授课过程中</w:t>
      </w:r>
      <w:r>
        <w:rPr>
          <w:rFonts w:hint="eastAsia" w:ascii="Times New Roman" w:hAnsi="Times New Roman" w:eastAsia="宋体" w:cs="Times New Roman"/>
        </w:rPr>
        <w:t>，</w:t>
      </w:r>
      <w:r>
        <w:rPr>
          <w:rFonts w:ascii="Times New Roman" w:hAnsi="Times New Roman" w:eastAsia="宋体" w:cs="Times New Roman"/>
        </w:rPr>
        <w:t>在讲解枯燥</w:t>
      </w:r>
      <w:r>
        <w:rPr>
          <w:rFonts w:hint="eastAsia" w:ascii="Times New Roman" w:hAnsi="Times New Roman" w:eastAsia="宋体" w:cs="Times New Roman"/>
        </w:rPr>
        <w:t>难理解</w:t>
      </w:r>
      <w:r>
        <w:rPr>
          <w:rFonts w:ascii="Times New Roman" w:hAnsi="Times New Roman" w:eastAsia="宋体" w:cs="Times New Roman"/>
        </w:rPr>
        <w:t>的理论知识过程中可以穿插相关的应用性案例</w:t>
      </w:r>
      <w:r>
        <w:rPr>
          <w:rFonts w:hint="eastAsia" w:ascii="Times New Roman" w:hAnsi="Times New Roman" w:eastAsia="宋体" w:cs="Times New Roman"/>
        </w:rPr>
        <w:t>，</w:t>
      </w:r>
      <w:r>
        <w:rPr>
          <w:rFonts w:ascii="Times New Roman" w:hAnsi="Times New Roman" w:eastAsia="宋体" w:cs="Times New Roman"/>
        </w:rPr>
        <w:t>结合现实生活提出问题</w:t>
      </w:r>
      <w:r>
        <w:rPr>
          <w:rFonts w:hint="eastAsia" w:ascii="Times New Roman" w:hAnsi="Times New Roman" w:eastAsia="宋体" w:cs="Times New Roman"/>
        </w:rPr>
        <w:t>，</w:t>
      </w:r>
      <w:r>
        <w:rPr>
          <w:rFonts w:ascii="Times New Roman" w:hAnsi="Times New Roman" w:eastAsia="宋体" w:cs="Times New Roman"/>
        </w:rPr>
        <w:t>引导学生运用所学知识进行综合分析</w:t>
      </w:r>
      <w:r>
        <w:rPr>
          <w:rFonts w:hint="eastAsia" w:ascii="Times New Roman" w:hAnsi="Times New Roman" w:eastAsia="宋体" w:cs="Times New Roman"/>
        </w:rPr>
        <w:t>，</w:t>
      </w:r>
      <w:r>
        <w:rPr>
          <w:rFonts w:ascii="Times New Roman" w:hAnsi="Times New Roman" w:eastAsia="宋体" w:cs="Times New Roman"/>
        </w:rPr>
        <w:t>调动学生学习的积极性</w:t>
      </w:r>
      <w:r>
        <w:rPr>
          <w:rFonts w:hint="eastAsia" w:ascii="Times New Roman" w:hAnsi="Times New Roman" w:eastAsia="宋体" w:cs="Times New Roman"/>
        </w:rPr>
        <w:t>。</w:t>
      </w:r>
    </w:p>
    <w:p>
      <w:pPr>
        <w:spacing w:line="400" w:lineRule="exact"/>
        <w:ind w:firstLine="420" w:firstLineChars="200"/>
        <w:rPr>
          <w:rFonts w:ascii="Times New Roman" w:hAnsi="Times New Roman" w:eastAsia="宋体" w:cs="Times New Roman"/>
        </w:rPr>
      </w:pPr>
      <w:r>
        <w:rPr>
          <w:rFonts w:hint="eastAsia" w:ascii="Times New Roman" w:hAnsi="Times New Roman" w:eastAsia="宋体" w:cs="Times New Roman"/>
        </w:rPr>
        <w:t>课后学习效果检查及内容扩展——课后教师通过推送作业或小组任务的形式，督促学生进行课后复习，并在线进行学习效果的检查，做好学生课后学习情况的随时追踪，教师利用碎片化的时间在线答疑，以提升学习效果。同时学术前沿等内容的分享，扩宽学生的知识面及专业视野，体会生物化学对人们生活的影响，体味科学发展的魅力。</w:t>
      </w:r>
    </w:p>
    <w:p>
      <w:pPr>
        <w:spacing w:line="400" w:lineRule="exact"/>
        <w:ind w:firstLine="420" w:firstLineChars="200"/>
        <w:rPr>
          <w:rFonts w:ascii="Times New Roman" w:hAnsi="Times New Roman" w:eastAsia="宋体" w:cs="Times New Roman"/>
        </w:rPr>
      </w:pPr>
      <w:r>
        <w:rPr>
          <w:rFonts w:hint="eastAsia" w:ascii="Times New Roman" w:hAnsi="Times New Roman" w:eastAsia="宋体" w:cs="Times New Roman"/>
        </w:rPr>
        <w:t>教学效果的随时反馈——线上提供师生随时随地互动交流的平台，学生可以就课程内容、教学方法等进行随时反馈，便于授课教师随时开展教学诊断，就学生需求调整教学速度，改进教学手段，以提升教学效果。</w:t>
      </w:r>
    </w:p>
    <w:tbl>
      <w:tblPr>
        <w:tblStyle w:val="8"/>
        <w:tblW w:w="8359" w:type="dxa"/>
        <w:tblInd w:w="5" w:type="dxa"/>
        <w:tblLayout w:type="fixed"/>
        <w:tblCellMar>
          <w:top w:w="0" w:type="dxa"/>
          <w:left w:w="108" w:type="dxa"/>
          <w:bottom w:w="0" w:type="dxa"/>
          <w:right w:w="108" w:type="dxa"/>
        </w:tblCellMar>
      </w:tblPr>
      <w:tblGrid>
        <w:gridCol w:w="8359"/>
      </w:tblGrid>
      <w:tr>
        <w:tc>
          <w:tcPr>
            <w:tcW w:w="8359" w:type="dxa"/>
          </w:tcPr>
          <w:p>
            <w:pPr>
              <w:spacing w:line="400" w:lineRule="exact"/>
              <w:ind w:firstLine="420" w:firstLineChars="200"/>
              <w:rPr>
                <w:rFonts w:ascii="Times New Roman" w:hAnsi="Times New Roman" w:eastAsia="宋体" w:cs="Times New Roman"/>
              </w:rPr>
            </w:pPr>
          </w:p>
        </w:tc>
      </w:tr>
    </w:tbl>
    <w:p>
      <w:pPr>
        <w:spacing w:line="400" w:lineRule="exact"/>
        <w:ind w:firstLine="420" w:firstLineChars="200"/>
        <w:jc w:val="left"/>
        <w:rPr>
          <w:rFonts w:ascii="Times New Roman" w:hAnsi="Times New Roman" w:cs="Times New Roman"/>
          <w:b/>
          <w:szCs w:val="21"/>
        </w:rPr>
      </w:pPr>
      <w:r>
        <w:rPr>
          <w:rFonts w:ascii="Times New Roman" w:hAnsi="Times New Roman" w:cs="Times New Roman"/>
          <w:b/>
          <w:szCs w:val="21"/>
        </w:rPr>
        <w:t>（</w:t>
      </w:r>
      <w:r>
        <w:rPr>
          <w:rFonts w:hint="eastAsia" w:ascii="Times New Roman" w:hAnsi="Times New Roman" w:cs="Times New Roman"/>
          <w:b/>
          <w:szCs w:val="21"/>
        </w:rPr>
        <w:t>三）食品生物化学</w:t>
      </w:r>
      <w:r>
        <w:rPr>
          <w:rFonts w:ascii="Times New Roman" w:hAnsi="Times New Roman" w:cs="Times New Roman"/>
          <w:b/>
          <w:szCs w:val="21"/>
        </w:rPr>
        <w:t>课程单元设计</w:t>
      </w:r>
    </w:p>
    <w:p>
      <w:pPr>
        <w:spacing w:line="400" w:lineRule="exact"/>
        <w:ind w:firstLine="420" w:firstLineChars="200"/>
        <w:rPr>
          <w:rFonts w:ascii="Times New Roman" w:hAnsi="Times New Roman" w:eastAsia="宋体" w:cs="Times New Roman"/>
        </w:rPr>
      </w:pPr>
      <w:r>
        <w:rPr>
          <w:rFonts w:hint="eastAsia" w:ascii="Times New Roman" w:hAnsi="Times New Roman" w:eastAsia="宋体" w:cs="Times New Roman"/>
        </w:rPr>
        <w:t>食品生物化学</w:t>
      </w:r>
      <w:r>
        <w:rPr>
          <w:rFonts w:ascii="Times New Roman" w:hAnsi="Times New Roman" w:eastAsia="宋体" w:cs="Times New Roman"/>
        </w:rPr>
        <w:t>课程</w:t>
      </w:r>
      <w:r>
        <w:rPr>
          <w:rFonts w:hint="eastAsia" w:ascii="Times New Roman" w:hAnsi="Times New Roman" w:eastAsia="宋体" w:cs="Times New Roman"/>
        </w:rPr>
        <w:t>的教学目标共包括十个教学</w:t>
      </w:r>
      <w:r>
        <w:rPr>
          <w:rFonts w:ascii="Times New Roman" w:hAnsi="Times New Roman" w:eastAsia="宋体" w:cs="Times New Roman"/>
        </w:rPr>
        <w:t>单元，</w:t>
      </w:r>
      <w:r>
        <w:rPr>
          <w:rFonts w:hint="eastAsia" w:ascii="Times New Roman" w:hAnsi="Times New Roman" w:eastAsia="宋体" w:cs="Times New Roman"/>
        </w:rPr>
        <w:t>每个教学单元我们又分为2-3个了子单元，每个子单元里又包括两至三个知识点，明确的知识点清单有助于学生对于课程整体知识结构的把握，具体单位</w:t>
      </w:r>
      <w:r>
        <w:rPr>
          <w:rFonts w:ascii="Times New Roman" w:hAnsi="Times New Roman" w:eastAsia="宋体" w:cs="Times New Roman"/>
        </w:rPr>
        <w:t>设计见表1。</w:t>
      </w:r>
    </w:p>
    <w:p>
      <w:pPr>
        <w:jc w:val="center"/>
        <w:rPr>
          <w:rFonts w:ascii="Times New Roman" w:hAnsi="Times New Roman" w:eastAsia="宋体" w:cs="Times New Roman"/>
        </w:rPr>
      </w:pPr>
      <w:r>
        <w:rPr>
          <w:rFonts w:hint="eastAsia" w:ascii="Times New Roman" w:hAnsi="Times New Roman" w:eastAsia="宋体" w:cs="Times New Roman"/>
        </w:rPr>
        <w:t>表1</w:t>
      </w:r>
      <w:r>
        <w:rPr>
          <w:rFonts w:ascii="Times New Roman" w:hAnsi="Times New Roman" w:eastAsia="宋体" w:cs="Times New Roman"/>
        </w:rPr>
        <w:t xml:space="preserve">  </w:t>
      </w:r>
      <w:r>
        <w:rPr>
          <w:rFonts w:hint="eastAsia" w:ascii="Times New Roman" w:hAnsi="Times New Roman" w:eastAsia="宋体" w:cs="Times New Roman"/>
        </w:rPr>
        <w:t>食品生物化学课程单元及知识点一览表</w:t>
      </w:r>
    </w:p>
    <w:tbl>
      <w:tblPr>
        <w:tblStyle w:val="9"/>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134"/>
        <w:gridCol w:w="993"/>
        <w:gridCol w:w="2126"/>
        <w:gridCol w:w="99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562" w:type="dxa"/>
          </w:tcPr>
          <w:p>
            <w:pPr>
              <w:jc w:val="center"/>
              <w:rPr>
                <w:rFonts w:ascii="宋体" w:hAnsi="宋体" w:eastAsia="宋体"/>
                <w:b/>
                <w:szCs w:val="21"/>
              </w:rPr>
            </w:pPr>
            <w:r>
              <w:rPr>
                <w:rFonts w:hint="eastAsia" w:ascii="宋体" w:hAnsi="宋体" w:eastAsia="宋体"/>
                <w:b/>
                <w:szCs w:val="21"/>
              </w:rPr>
              <w:t>序号</w:t>
            </w:r>
          </w:p>
        </w:tc>
        <w:tc>
          <w:tcPr>
            <w:tcW w:w="1134" w:type="dxa"/>
          </w:tcPr>
          <w:p>
            <w:pPr>
              <w:jc w:val="center"/>
              <w:rPr>
                <w:rFonts w:ascii="宋体" w:hAnsi="宋体" w:eastAsia="宋体"/>
                <w:b/>
                <w:szCs w:val="21"/>
              </w:rPr>
            </w:pPr>
            <w:r>
              <w:rPr>
                <w:rFonts w:hint="eastAsia" w:ascii="宋体" w:hAnsi="宋体" w:eastAsia="宋体"/>
                <w:b/>
                <w:szCs w:val="21"/>
              </w:rPr>
              <w:t>教学单元</w:t>
            </w:r>
          </w:p>
        </w:tc>
        <w:tc>
          <w:tcPr>
            <w:tcW w:w="993" w:type="dxa"/>
          </w:tcPr>
          <w:p>
            <w:pPr>
              <w:jc w:val="center"/>
              <w:rPr>
                <w:rFonts w:ascii="宋体" w:hAnsi="宋体" w:eastAsia="宋体"/>
                <w:b/>
                <w:szCs w:val="21"/>
              </w:rPr>
            </w:pPr>
            <w:r>
              <w:rPr>
                <w:rFonts w:hint="eastAsia" w:ascii="宋体" w:hAnsi="宋体" w:eastAsia="宋体"/>
                <w:b/>
                <w:szCs w:val="21"/>
              </w:rPr>
              <w:t>子单元编号</w:t>
            </w:r>
          </w:p>
        </w:tc>
        <w:tc>
          <w:tcPr>
            <w:tcW w:w="2126" w:type="dxa"/>
          </w:tcPr>
          <w:p>
            <w:pPr>
              <w:jc w:val="center"/>
              <w:rPr>
                <w:rFonts w:ascii="宋体" w:hAnsi="宋体" w:eastAsia="宋体"/>
                <w:b/>
                <w:szCs w:val="21"/>
              </w:rPr>
            </w:pPr>
            <w:r>
              <w:rPr>
                <w:rFonts w:hint="eastAsia" w:ascii="宋体" w:hAnsi="宋体" w:eastAsia="宋体"/>
                <w:b/>
                <w:szCs w:val="21"/>
              </w:rPr>
              <w:t>子单元名称</w:t>
            </w:r>
          </w:p>
        </w:tc>
        <w:tc>
          <w:tcPr>
            <w:tcW w:w="992" w:type="dxa"/>
          </w:tcPr>
          <w:p>
            <w:pPr>
              <w:jc w:val="center"/>
              <w:rPr>
                <w:rFonts w:ascii="宋体" w:hAnsi="宋体" w:eastAsia="宋体"/>
                <w:b/>
                <w:szCs w:val="21"/>
              </w:rPr>
            </w:pPr>
            <w:r>
              <w:rPr>
                <w:rFonts w:hint="eastAsia" w:ascii="宋体" w:hAnsi="宋体" w:eastAsia="宋体"/>
                <w:b/>
                <w:szCs w:val="21"/>
              </w:rPr>
              <w:t>知识点编号</w:t>
            </w:r>
          </w:p>
        </w:tc>
        <w:tc>
          <w:tcPr>
            <w:tcW w:w="2552" w:type="dxa"/>
          </w:tcPr>
          <w:p>
            <w:pPr>
              <w:jc w:val="center"/>
              <w:rPr>
                <w:rFonts w:ascii="宋体" w:hAnsi="宋体" w:eastAsia="宋体"/>
                <w:b/>
                <w:szCs w:val="21"/>
              </w:rPr>
            </w:pPr>
            <w:r>
              <w:rPr>
                <w:rFonts w:hint="eastAsia" w:ascii="宋体" w:hAnsi="宋体" w:eastAsia="宋体"/>
                <w:b/>
                <w:szCs w:val="21"/>
              </w:rPr>
              <w:t>知识点名称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restart"/>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一</w:t>
            </w:r>
          </w:p>
        </w:tc>
        <w:tc>
          <w:tcPr>
            <w:tcW w:w="1134" w:type="dxa"/>
            <w:vMerge w:val="restart"/>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绪论</w:t>
            </w:r>
          </w:p>
        </w:tc>
        <w:tc>
          <w:tcPr>
            <w:tcW w:w="993" w:type="dxa"/>
            <w:vAlign w:val="center"/>
          </w:tcPr>
          <w:p>
            <w:pPr>
              <w:tabs>
                <w:tab w:val="center" w:pos="317"/>
              </w:tabs>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1.1</w:t>
            </w:r>
          </w:p>
        </w:tc>
        <w:tc>
          <w:tcPr>
            <w:tcW w:w="2126"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课程</w:t>
            </w:r>
            <w:r>
              <w:rPr>
                <w:rFonts w:ascii="Times New Roman" w:hAnsi="Times New Roman" w:eastAsia="宋体" w:cs="Arial"/>
                <w:color w:val="000000" w:themeColor="text1"/>
                <w:szCs w:val="21"/>
                <w14:textFill>
                  <w14:solidFill>
                    <w14:schemeClr w14:val="tx1"/>
                  </w14:solidFill>
                </w14:textFill>
              </w:rPr>
              <w:t>介绍</w:t>
            </w:r>
          </w:p>
        </w:tc>
        <w:tc>
          <w:tcPr>
            <w:tcW w:w="992"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1.1.1</w:t>
            </w:r>
          </w:p>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1.1.</w:t>
            </w:r>
            <w:r>
              <w:rPr>
                <w:rFonts w:hint="eastAsia" w:ascii="Times New Roman" w:hAnsi="Times New Roman" w:eastAsia="宋体" w:cs="Times New Roman"/>
                <w:color w:val="000000" w:themeColor="text1"/>
                <w:szCs w:val="21"/>
                <w14:textFill>
                  <w14:solidFill>
                    <w14:schemeClr w14:val="tx1"/>
                  </w14:solidFill>
                </w14:textFill>
              </w:rPr>
              <w:t>2</w:t>
            </w:r>
          </w:p>
          <w:p>
            <w:pPr>
              <w:jc w:val="center"/>
              <w:rPr>
                <w:rFonts w:ascii="Times New Roman" w:hAnsi="Times New Roman" w:eastAsia="宋体" w:cs="Times New Roman"/>
                <w:szCs w:val="21"/>
              </w:rPr>
            </w:pPr>
            <w:r>
              <w:rPr>
                <w:rFonts w:ascii="Times New Roman" w:hAnsi="Times New Roman" w:eastAsia="宋体" w:cs="Times New Roman"/>
                <w:color w:val="000000" w:themeColor="text1"/>
                <w:szCs w:val="21"/>
                <w14:textFill>
                  <w14:solidFill>
                    <w14:schemeClr w14:val="tx1"/>
                  </w14:solidFill>
                </w14:textFill>
              </w:rPr>
              <w:t>1.1.</w:t>
            </w:r>
            <w:r>
              <w:rPr>
                <w:rFonts w:hint="eastAsia" w:ascii="Times New Roman" w:hAnsi="Times New Roman" w:eastAsia="宋体" w:cs="Times New Roman"/>
                <w:color w:val="000000" w:themeColor="text1"/>
                <w:szCs w:val="21"/>
                <w14:textFill>
                  <w14:solidFill>
                    <w14:schemeClr w14:val="tx1"/>
                  </w14:solidFill>
                </w14:textFill>
              </w:rPr>
              <w:t>3</w:t>
            </w:r>
          </w:p>
        </w:tc>
        <w:tc>
          <w:tcPr>
            <w:tcW w:w="2552" w:type="dxa"/>
            <w:vAlign w:val="center"/>
          </w:tcPr>
          <w:p>
            <w:pPr>
              <w:jc w:val="center"/>
              <w:rPr>
                <w:rFonts w:ascii="Times New Roman" w:hAnsi="Times New Roman" w:eastAsia="宋体"/>
                <w:szCs w:val="21"/>
              </w:rPr>
            </w:pPr>
            <w:r>
              <w:rPr>
                <w:rFonts w:hint="eastAsia" w:ascii="Times New Roman" w:hAnsi="Times New Roman" w:eastAsia="宋体"/>
                <w:szCs w:val="21"/>
              </w:rPr>
              <w:t>生物化学定义</w:t>
            </w:r>
          </w:p>
          <w:p>
            <w:pPr>
              <w:jc w:val="center"/>
              <w:rPr>
                <w:rFonts w:ascii="Times New Roman" w:hAnsi="Times New Roman" w:eastAsia="宋体"/>
                <w:szCs w:val="21"/>
              </w:rPr>
            </w:pPr>
            <w:r>
              <w:rPr>
                <w:rFonts w:hint="eastAsia" w:ascii="Times New Roman" w:hAnsi="Times New Roman" w:eastAsia="宋体"/>
                <w:szCs w:val="21"/>
              </w:rPr>
              <w:t>研究内容</w:t>
            </w:r>
          </w:p>
          <w:p>
            <w:pPr>
              <w:jc w:val="center"/>
              <w:rPr>
                <w:rFonts w:ascii="Times New Roman" w:hAnsi="Times New Roman" w:eastAsia="宋体"/>
                <w:szCs w:val="21"/>
              </w:rPr>
            </w:pPr>
            <w:r>
              <w:rPr>
                <w:rFonts w:hint="eastAsia" w:ascii="Times New Roman" w:hAnsi="Times New Roman" w:eastAsia="宋体"/>
                <w:szCs w:val="21"/>
              </w:rPr>
              <w:t>学习方法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continue"/>
            <w:vAlign w:val="center"/>
          </w:tcPr>
          <w:p>
            <w:pPr>
              <w:jc w:val="center"/>
              <w:rPr>
                <w:rFonts w:ascii="Times New Roman" w:hAnsi="Times New Roman" w:eastAsia="宋体"/>
                <w:szCs w:val="21"/>
              </w:rPr>
            </w:pPr>
          </w:p>
        </w:tc>
        <w:tc>
          <w:tcPr>
            <w:tcW w:w="1134" w:type="dxa"/>
            <w:vMerge w:val="continue"/>
            <w:vAlign w:val="center"/>
          </w:tcPr>
          <w:p>
            <w:pPr>
              <w:rPr>
                <w:rFonts w:ascii="Times New Roman" w:hAnsi="Times New Roman" w:eastAsia="宋体"/>
                <w:szCs w:val="21"/>
              </w:rPr>
            </w:pPr>
          </w:p>
        </w:tc>
        <w:tc>
          <w:tcPr>
            <w:tcW w:w="993" w:type="dxa"/>
            <w:vAlign w:val="center"/>
          </w:tcPr>
          <w:p>
            <w:pPr>
              <w:tabs>
                <w:tab w:val="center" w:pos="317"/>
              </w:tabs>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1.2</w:t>
            </w:r>
          </w:p>
        </w:tc>
        <w:tc>
          <w:tcPr>
            <w:tcW w:w="2126"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该学科</w:t>
            </w:r>
            <w:r>
              <w:rPr>
                <w:rFonts w:ascii="Times New Roman" w:hAnsi="Times New Roman" w:eastAsia="宋体" w:cs="Arial"/>
                <w:color w:val="000000" w:themeColor="text1"/>
                <w:szCs w:val="21"/>
                <w14:textFill>
                  <w14:solidFill>
                    <w14:schemeClr w14:val="tx1"/>
                  </w14:solidFill>
                </w14:textFill>
              </w:rPr>
              <w:t>最新发展动态</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color w:val="000000" w:themeColor="text1"/>
                <w:szCs w:val="21"/>
                <w14:textFill>
                  <w14:solidFill>
                    <w14:schemeClr w14:val="tx1"/>
                  </w14:solidFill>
                </w14:textFill>
              </w:rPr>
              <w:t>1.2.1</w:t>
            </w:r>
          </w:p>
        </w:tc>
        <w:tc>
          <w:tcPr>
            <w:tcW w:w="2552" w:type="dxa"/>
            <w:vAlign w:val="center"/>
          </w:tcPr>
          <w:p>
            <w:pPr>
              <w:jc w:val="center"/>
              <w:rPr>
                <w:rFonts w:ascii="Times New Roman" w:hAnsi="Times New Roman" w:eastAsia="宋体"/>
                <w:szCs w:val="21"/>
              </w:rPr>
            </w:pPr>
            <w:r>
              <w:rPr>
                <w:rFonts w:hint="eastAsia" w:ascii="Times New Roman" w:hAnsi="Times New Roman" w:eastAsia="宋体" w:cs="Arial"/>
                <w:szCs w:val="21"/>
              </w:rPr>
              <w:t>生物化学的最新发展动态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restart"/>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二</w:t>
            </w:r>
          </w:p>
        </w:tc>
        <w:tc>
          <w:tcPr>
            <w:tcW w:w="1134" w:type="dxa"/>
            <w:vMerge w:val="restart"/>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糖类</w:t>
            </w:r>
          </w:p>
        </w:tc>
        <w:tc>
          <w:tcPr>
            <w:tcW w:w="993"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2.1</w:t>
            </w:r>
          </w:p>
        </w:tc>
        <w:tc>
          <w:tcPr>
            <w:tcW w:w="2126"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糖的概述</w:t>
            </w:r>
          </w:p>
        </w:tc>
        <w:tc>
          <w:tcPr>
            <w:tcW w:w="992"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2.1.1</w:t>
            </w:r>
          </w:p>
          <w:p>
            <w:pPr>
              <w:jc w:val="center"/>
              <w:rPr>
                <w:rFonts w:ascii="Times New Roman" w:hAnsi="Times New Roman" w:eastAsia="宋体"/>
                <w:szCs w:val="21"/>
              </w:rPr>
            </w:pPr>
            <w:r>
              <w:rPr>
                <w:rFonts w:ascii="Times New Roman" w:hAnsi="Times New Roman" w:eastAsia="宋体" w:cs="Times New Roman"/>
                <w:color w:val="000000" w:themeColor="text1"/>
                <w:szCs w:val="21"/>
                <w14:textFill>
                  <w14:solidFill>
                    <w14:schemeClr w14:val="tx1"/>
                  </w14:solidFill>
                </w14:textFill>
              </w:rPr>
              <w:t>2.1.2</w:t>
            </w:r>
          </w:p>
        </w:tc>
        <w:tc>
          <w:tcPr>
            <w:tcW w:w="2552" w:type="dxa"/>
            <w:vAlign w:val="center"/>
          </w:tcPr>
          <w:p>
            <w:pPr>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糖类的定义</w:t>
            </w:r>
          </w:p>
          <w:p>
            <w:pPr>
              <w:jc w:val="center"/>
              <w:rPr>
                <w:rFonts w:ascii="Times New Roman" w:hAnsi="Times New Roman" w:eastAsia="宋体"/>
                <w:szCs w:val="21"/>
              </w:rPr>
            </w:pPr>
            <w:r>
              <w:rPr>
                <w:rFonts w:hint="eastAsia" w:ascii="Times New Roman" w:hAnsi="Times New Roman" w:eastAsia="宋体" w:cs="Arial"/>
                <w:color w:val="000000" w:themeColor="text1"/>
                <w:szCs w:val="21"/>
                <w14:textFill>
                  <w14:solidFill>
                    <w14:schemeClr w14:val="tx1"/>
                  </w14:solidFill>
                </w14:textFill>
              </w:rPr>
              <w:t>糖类的分类及作用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continue"/>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p>
        </w:tc>
        <w:tc>
          <w:tcPr>
            <w:tcW w:w="1134" w:type="dxa"/>
            <w:vMerge w:val="continue"/>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p>
        </w:tc>
        <w:tc>
          <w:tcPr>
            <w:tcW w:w="993"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2.2</w:t>
            </w:r>
          </w:p>
        </w:tc>
        <w:tc>
          <w:tcPr>
            <w:tcW w:w="2126"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单糖</w:t>
            </w:r>
            <w:r>
              <w:rPr>
                <w:rFonts w:ascii="Times New Roman" w:hAnsi="Times New Roman" w:eastAsia="宋体" w:cs="Arial"/>
                <w:color w:val="000000" w:themeColor="text1"/>
                <w:szCs w:val="21"/>
                <w14:textFill>
                  <w14:solidFill>
                    <w14:schemeClr w14:val="tx1"/>
                  </w14:solidFill>
                </w14:textFill>
              </w:rPr>
              <w:t>结构与功能</w:t>
            </w:r>
          </w:p>
        </w:tc>
        <w:tc>
          <w:tcPr>
            <w:tcW w:w="992"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2.2.1</w:t>
            </w:r>
          </w:p>
          <w:p>
            <w:pPr>
              <w:jc w:val="center"/>
              <w:rPr>
                <w:rFonts w:ascii="Times New Roman" w:hAnsi="Times New Roman" w:eastAsia="宋体"/>
                <w:szCs w:val="21"/>
              </w:rPr>
            </w:pPr>
            <w:r>
              <w:rPr>
                <w:rFonts w:ascii="Times New Roman" w:hAnsi="Times New Roman" w:eastAsia="宋体" w:cs="Times New Roman"/>
                <w:color w:val="000000" w:themeColor="text1"/>
                <w:szCs w:val="21"/>
                <w14:textFill>
                  <w14:solidFill>
                    <w14:schemeClr w14:val="tx1"/>
                  </w14:solidFill>
                </w14:textFill>
              </w:rPr>
              <w:t>2.2.2</w:t>
            </w:r>
          </w:p>
        </w:tc>
        <w:tc>
          <w:tcPr>
            <w:tcW w:w="2552" w:type="dxa"/>
            <w:vAlign w:val="center"/>
          </w:tcPr>
          <w:p>
            <w:pPr>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单糖</w:t>
            </w:r>
            <w:r>
              <w:rPr>
                <w:rFonts w:ascii="Times New Roman" w:hAnsi="Times New Roman" w:eastAsia="宋体" w:cs="Arial"/>
                <w:color w:val="000000" w:themeColor="text1"/>
                <w:szCs w:val="21"/>
                <w14:textFill>
                  <w14:solidFill>
                    <w14:schemeClr w14:val="tx1"/>
                  </w14:solidFill>
                </w14:textFill>
              </w:rPr>
              <w:t>结构</w:t>
            </w:r>
          </w:p>
          <w:p>
            <w:pPr>
              <w:jc w:val="center"/>
              <w:rPr>
                <w:rFonts w:ascii="Times New Roman" w:hAnsi="Times New Roman" w:eastAsia="宋体"/>
                <w:szCs w:val="21"/>
              </w:rPr>
            </w:pPr>
            <w:r>
              <w:rPr>
                <w:rFonts w:hint="eastAsia" w:ascii="Times New Roman" w:hAnsi="Times New Roman" w:eastAsia="宋体" w:cs="Arial"/>
                <w:color w:val="000000" w:themeColor="text1"/>
                <w:szCs w:val="21"/>
                <w14:textFill>
                  <w14:solidFill>
                    <w14:schemeClr w14:val="tx1"/>
                  </w14:solidFill>
                </w14:textFill>
              </w:rPr>
              <w:t>单糖</w:t>
            </w:r>
            <w:r>
              <w:rPr>
                <w:rFonts w:ascii="Times New Roman" w:hAnsi="Times New Roman" w:eastAsia="宋体" w:cs="Arial"/>
                <w:color w:val="000000" w:themeColor="text1"/>
                <w:szCs w:val="21"/>
                <w14:textFill>
                  <w14:solidFill>
                    <w14:schemeClr w14:val="tx1"/>
                  </w14:solidFill>
                </w14:textFill>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continue"/>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p>
        </w:tc>
        <w:tc>
          <w:tcPr>
            <w:tcW w:w="1134" w:type="dxa"/>
            <w:vMerge w:val="continue"/>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p>
        </w:tc>
        <w:tc>
          <w:tcPr>
            <w:tcW w:w="993"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2.3</w:t>
            </w:r>
          </w:p>
        </w:tc>
        <w:tc>
          <w:tcPr>
            <w:tcW w:w="2126"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双糖</w:t>
            </w:r>
            <w:r>
              <w:rPr>
                <w:rFonts w:ascii="Times New Roman" w:hAnsi="Times New Roman" w:eastAsia="宋体" w:cs="Arial"/>
                <w:color w:val="000000" w:themeColor="text1"/>
                <w:szCs w:val="21"/>
                <w14:textFill>
                  <w14:solidFill>
                    <w14:schemeClr w14:val="tx1"/>
                  </w14:solidFill>
                </w14:textFill>
              </w:rPr>
              <w:t>与多糖</w:t>
            </w:r>
            <w:r>
              <w:rPr>
                <w:rFonts w:hint="eastAsia" w:ascii="Times New Roman" w:hAnsi="Times New Roman" w:eastAsia="宋体" w:cs="Arial"/>
                <w:color w:val="000000" w:themeColor="text1"/>
                <w:szCs w:val="21"/>
                <w14:textFill>
                  <w14:solidFill>
                    <w14:schemeClr w14:val="tx1"/>
                  </w14:solidFill>
                </w14:textFill>
              </w:rPr>
              <w:t>的结构</w:t>
            </w:r>
          </w:p>
        </w:tc>
        <w:tc>
          <w:tcPr>
            <w:tcW w:w="992"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2.3.1</w:t>
            </w:r>
          </w:p>
          <w:p>
            <w:pPr>
              <w:jc w:val="center"/>
              <w:rPr>
                <w:rFonts w:ascii="Times New Roman" w:hAnsi="Times New Roman" w:eastAsia="宋体"/>
                <w:szCs w:val="21"/>
              </w:rPr>
            </w:pPr>
            <w:r>
              <w:rPr>
                <w:rFonts w:ascii="Times New Roman" w:hAnsi="Times New Roman" w:eastAsia="宋体" w:cs="Times New Roman"/>
                <w:color w:val="000000" w:themeColor="text1"/>
                <w:szCs w:val="21"/>
                <w14:textFill>
                  <w14:solidFill>
                    <w14:schemeClr w14:val="tx1"/>
                  </w14:solidFill>
                </w14:textFill>
              </w:rPr>
              <w:t>2.3.2</w:t>
            </w:r>
          </w:p>
        </w:tc>
        <w:tc>
          <w:tcPr>
            <w:tcW w:w="2552" w:type="dxa"/>
            <w:vAlign w:val="center"/>
          </w:tcPr>
          <w:p>
            <w:pPr>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双糖的结构</w:t>
            </w:r>
          </w:p>
          <w:p>
            <w:pPr>
              <w:jc w:val="center"/>
              <w:rPr>
                <w:rFonts w:ascii="Times New Roman" w:hAnsi="Times New Roman" w:eastAsia="宋体"/>
                <w:szCs w:val="21"/>
              </w:rPr>
            </w:pPr>
            <w:r>
              <w:rPr>
                <w:rFonts w:ascii="Times New Roman" w:hAnsi="Times New Roman" w:eastAsia="宋体" w:cs="Arial"/>
                <w:color w:val="000000" w:themeColor="text1"/>
                <w:szCs w:val="21"/>
                <w14:textFill>
                  <w14:solidFill>
                    <w14:schemeClr w14:val="tx1"/>
                  </w14:solidFill>
                </w14:textFill>
              </w:rPr>
              <w:t>多糖</w:t>
            </w:r>
            <w:r>
              <w:rPr>
                <w:rFonts w:hint="eastAsia" w:ascii="Times New Roman" w:hAnsi="Times New Roman" w:eastAsia="宋体" w:cs="Arial"/>
                <w:color w:val="000000" w:themeColor="text1"/>
                <w:szCs w:val="21"/>
                <w14:textFill>
                  <w14:solidFill>
                    <w14:schemeClr w14:val="tx1"/>
                  </w14:solidFill>
                </w14:textFill>
              </w:rPr>
              <w:t>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restart"/>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三</w:t>
            </w:r>
          </w:p>
        </w:tc>
        <w:tc>
          <w:tcPr>
            <w:tcW w:w="1134" w:type="dxa"/>
            <w:vMerge w:val="restart"/>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脂质</w:t>
            </w:r>
          </w:p>
        </w:tc>
        <w:tc>
          <w:tcPr>
            <w:tcW w:w="993"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3.1</w:t>
            </w:r>
          </w:p>
        </w:tc>
        <w:tc>
          <w:tcPr>
            <w:tcW w:w="2126"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脂类</w:t>
            </w:r>
            <w:r>
              <w:rPr>
                <w:rFonts w:ascii="Times New Roman" w:hAnsi="Times New Roman" w:eastAsia="宋体" w:cs="Arial"/>
                <w:color w:val="000000" w:themeColor="text1"/>
                <w:szCs w:val="21"/>
                <w14:textFill>
                  <w14:solidFill>
                    <w14:schemeClr w14:val="tx1"/>
                  </w14:solidFill>
                </w14:textFill>
              </w:rPr>
              <w:t>与脂肪酸</w:t>
            </w:r>
          </w:p>
        </w:tc>
        <w:tc>
          <w:tcPr>
            <w:tcW w:w="992"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3.1.1</w:t>
            </w:r>
          </w:p>
          <w:p>
            <w:pPr>
              <w:jc w:val="center"/>
              <w:rPr>
                <w:rFonts w:ascii="Times New Roman" w:hAnsi="Times New Roman" w:eastAsia="宋体"/>
                <w:szCs w:val="21"/>
              </w:rPr>
            </w:pPr>
            <w:r>
              <w:rPr>
                <w:rFonts w:ascii="Times New Roman" w:hAnsi="Times New Roman" w:eastAsia="宋体" w:cs="Times New Roman"/>
                <w:color w:val="000000" w:themeColor="text1"/>
                <w:szCs w:val="21"/>
                <w14:textFill>
                  <w14:solidFill>
                    <w14:schemeClr w14:val="tx1"/>
                  </w14:solidFill>
                </w14:textFill>
              </w:rPr>
              <w:t>3.1.2</w:t>
            </w:r>
          </w:p>
        </w:tc>
        <w:tc>
          <w:tcPr>
            <w:tcW w:w="2552" w:type="dxa"/>
            <w:vAlign w:val="center"/>
          </w:tcPr>
          <w:p>
            <w:pPr>
              <w:jc w:val="center"/>
              <w:rPr>
                <w:rFonts w:ascii="Times New Roman" w:hAnsi="Times New Roman" w:eastAsia="宋体"/>
                <w:szCs w:val="21"/>
              </w:rPr>
            </w:pPr>
            <w:r>
              <w:rPr>
                <w:rFonts w:hint="eastAsia" w:ascii="Times New Roman" w:hAnsi="Times New Roman" w:eastAsia="宋体"/>
                <w:szCs w:val="21"/>
              </w:rPr>
              <w:t>脂类的定义</w:t>
            </w:r>
          </w:p>
          <w:p>
            <w:pPr>
              <w:jc w:val="center"/>
              <w:rPr>
                <w:rFonts w:ascii="Times New Roman" w:hAnsi="Times New Roman" w:eastAsia="宋体"/>
                <w:szCs w:val="21"/>
              </w:rPr>
            </w:pPr>
            <w:r>
              <w:rPr>
                <w:rFonts w:hint="eastAsia" w:ascii="Times New Roman" w:hAnsi="Times New Roman" w:eastAsia="宋体"/>
                <w:szCs w:val="21"/>
              </w:rPr>
              <w:t>脂肪酸的结构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continue"/>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p>
        </w:tc>
        <w:tc>
          <w:tcPr>
            <w:tcW w:w="1134" w:type="dxa"/>
            <w:vMerge w:val="continue"/>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p>
        </w:tc>
        <w:tc>
          <w:tcPr>
            <w:tcW w:w="993"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3.2</w:t>
            </w:r>
          </w:p>
        </w:tc>
        <w:tc>
          <w:tcPr>
            <w:tcW w:w="2126"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甘油酯</w:t>
            </w:r>
            <w:r>
              <w:rPr>
                <w:rFonts w:ascii="Times New Roman" w:hAnsi="Times New Roman" w:eastAsia="宋体" w:cs="Arial"/>
                <w:color w:val="000000" w:themeColor="text1"/>
                <w:szCs w:val="21"/>
                <w14:textFill>
                  <w14:solidFill>
                    <w14:schemeClr w14:val="tx1"/>
                  </w14:solidFill>
                </w14:textFill>
              </w:rPr>
              <w:t>类与生物膜</w:t>
            </w:r>
          </w:p>
        </w:tc>
        <w:tc>
          <w:tcPr>
            <w:tcW w:w="992"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3.2.1</w:t>
            </w:r>
          </w:p>
          <w:p>
            <w:pPr>
              <w:jc w:val="center"/>
              <w:rPr>
                <w:rFonts w:ascii="Times New Roman" w:hAnsi="Times New Roman" w:eastAsia="宋体"/>
                <w:szCs w:val="21"/>
              </w:rPr>
            </w:pPr>
            <w:r>
              <w:rPr>
                <w:rFonts w:ascii="Times New Roman" w:hAnsi="Times New Roman" w:eastAsia="宋体" w:cs="Times New Roman"/>
                <w:color w:val="000000" w:themeColor="text1"/>
                <w:szCs w:val="21"/>
                <w14:textFill>
                  <w14:solidFill>
                    <w14:schemeClr w14:val="tx1"/>
                  </w14:solidFill>
                </w14:textFill>
              </w:rPr>
              <w:t>3.2.2</w:t>
            </w:r>
          </w:p>
        </w:tc>
        <w:tc>
          <w:tcPr>
            <w:tcW w:w="2552" w:type="dxa"/>
            <w:vAlign w:val="center"/>
          </w:tcPr>
          <w:p>
            <w:pPr>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甘油酯的结构</w:t>
            </w:r>
          </w:p>
          <w:p>
            <w:pPr>
              <w:jc w:val="center"/>
              <w:rPr>
                <w:rFonts w:ascii="Times New Roman" w:hAnsi="Times New Roman" w:eastAsia="宋体"/>
                <w:szCs w:val="21"/>
              </w:rPr>
            </w:pPr>
            <w:r>
              <w:rPr>
                <w:rFonts w:hint="eastAsia" w:ascii="Times New Roman" w:hAnsi="Times New Roman" w:eastAsia="宋体" w:cs="Arial"/>
                <w:color w:val="000000" w:themeColor="text1"/>
                <w:szCs w:val="21"/>
                <w14:textFill>
                  <w14:solidFill>
                    <w14:schemeClr w14:val="tx1"/>
                  </w14:solidFill>
                </w14:textFill>
              </w:rPr>
              <w:t>生物膜的结构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restart"/>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四</w:t>
            </w:r>
          </w:p>
        </w:tc>
        <w:tc>
          <w:tcPr>
            <w:tcW w:w="1134" w:type="dxa"/>
            <w:vMerge w:val="restart"/>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蛋白质</w:t>
            </w:r>
          </w:p>
        </w:tc>
        <w:tc>
          <w:tcPr>
            <w:tcW w:w="993"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4.1</w:t>
            </w:r>
          </w:p>
        </w:tc>
        <w:tc>
          <w:tcPr>
            <w:tcW w:w="2126"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蛋白质的</w:t>
            </w:r>
            <w:r>
              <w:rPr>
                <w:rFonts w:ascii="Times New Roman" w:hAnsi="Times New Roman" w:eastAsia="宋体" w:cs="Arial"/>
                <w:color w:val="000000" w:themeColor="text1"/>
                <w:szCs w:val="21"/>
                <w14:textFill>
                  <w14:solidFill>
                    <w14:schemeClr w14:val="tx1"/>
                  </w14:solidFill>
                </w14:textFill>
              </w:rPr>
              <w:t>结构</w:t>
            </w:r>
          </w:p>
        </w:tc>
        <w:tc>
          <w:tcPr>
            <w:tcW w:w="992"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4.1.1</w:t>
            </w:r>
          </w:p>
          <w:p>
            <w:pPr>
              <w:jc w:val="center"/>
              <w:rPr>
                <w:rFonts w:ascii="Times New Roman" w:hAnsi="Times New Roman" w:eastAsia="宋体"/>
                <w:szCs w:val="21"/>
              </w:rPr>
            </w:pPr>
            <w:r>
              <w:rPr>
                <w:rFonts w:ascii="Times New Roman" w:hAnsi="Times New Roman" w:eastAsia="宋体" w:cs="Times New Roman"/>
                <w:color w:val="000000" w:themeColor="text1"/>
                <w:szCs w:val="21"/>
                <w14:textFill>
                  <w14:solidFill>
                    <w14:schemeClr w14:val="tx1"/>
                  </w14:solidFill>
                </w14:textFill>
              </w:rPr>
              <w:t>4.1.2</w:t>
            </w:r>
          </w:p>
        </w:tc>
        <w:tc>
          <w:tcPr>
            <w:tcW w:w="2552" w:type="dxa"/>
            <w:vAlign w:val="center"/>
          </w:tcPr>
          <w:p>
            <w:pPr>
              <w:jc w:val="center"/>
              <w:rPr>
                <w:rFonts w:ascii="Times New Roman" w:hAnsi="Times New Roman" w:eastAsia="宋体"/>
                <w:szCs w:val="21"/>
              </w:rPr>
            </w:pPr>
            <w:r>
              <w:rPr>
                <w:rFonts w:hint="eastAsia" w:ascii="Times New Roman" w:hAnsi="Times New Roman" w:eastAsia="宋体"/>
                <w:szCs w:val="21"/>
              </w:rPr>
              <w:t>氨基酸的结构</w:t>
            </w:r>
          </w:p>
          <w:p>
            <w:pPr>
              <w:jc w:val="center"/>
              <w:rPr>
                <w:rFonts w:ascii="Times New Roman" w:hAnsi="Times New Roman" w:eastAsia="宋体"/>
                <w:szCs w:val="21"/>
              </w:rPr>
            </w:pPr>
            <w:r>
              <w:rPr>
                <w:rFonts w:hint="eastAsia" w:ascii="Times New Roman" w:hAnsi="Times New Roman" w:eastAsia="宋体"/>
                <w:szCs w:val="21"/>
              </w:rPr>
              <w:t>蛋白质的结构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continue"/>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p>
        </w:tc>
        <w:tc>
          <w:tcPr>
            <w:tcW w:w="1134" w:type="dxa"/>
            <w:vMerge w:val="continue"/>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p>
        </w:tc>
        <w:tc>
          <w:tcPr>
            <w:tcW w:w="993"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4.2</w:t>
            </w:r>
          </w:p>
        </w:tc>
        <w:tc>
          <w:tcPr>
            <w:tcW w:w="2126"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蛋白</w:t>
            </w:r>
            <w:r>
              <w:rPr>
                <w:rFonts w:ascii="Times New Roman" w:hAnsi="Times New Roman" w:eastAsia="宋体" w:cs="Arial"/>
                <w:color w:val="000000" w:themeColor="text1"/>
                <w:szCs w:val="21"/>
                <w14:textFill>
                  <w14:solidFill>
                    <w14:schemeClr w14:val="tx1"/>
                  </w14:solidFill>
                </w14:textFill>
              </w:rPr>
              <w:t>质</w:t>
            </w:r>
            <w:r>
              <w:rPr>
                <w:rFonts w:hint="eastAsia" w:ascii="Times New Roman" w:hAnsi="Times New Roman" w:eastAsia="宋体" w:cs="Arial"/>
                <w:color w:val="000000" w:themeColor="text1"/>
                <w:szCs w:val="21"/>
                <w14:textFill>
                  <w14:solidFill>
                    <w14:schemeClr w14:val="tx1"/>
                  </w14:solidFill>
                </w14:textFill>
              </w:rPr>
              <w:t>的</w:t>
            </w:r>
            <w:r>
              <w:rPr>
                <w:rFonts w:ascii="Times New Roman" w:hAnsi="Times New Roman" w:eastAsia="宋体" w:cs="Arial"/>
                <w:color w:val="000000" w:themeColor="text1"/>
                <w:szCs w:val="21"/>
                <w14:textFill>
                  <w14:solidFill>
                    <w14:schemeClr w14:val="tx1"/>
                  </w14:solidFill>
                </w14:textFill>
              </w:rPr>
              <w:t>性质</w:t>
            </w:r>
          </w:p>
        </w:tc>
        <w:tc>
          <w:tcPr>
            <w:tcW w:w="992" w:type="dxa"/>
            <w:vAlign w:val="center"/>
          </w:tcPr>
          <w:p>
            <w:pPr>
              <w:jc w:val="center"/>
              <w:rPr>
                <w:rFonts w:ascii="Times New Roman" w:hAnsi="Times New Roman" w:eastAsia="宋体"/>
                <w:szCs w:val="21"/>
              </w:rPr>
            </w:pPr>
            <w:r>
              <w:rPr>
                <w:rFonts w:ascii="Times New Roman" w:hAnsi="Times New Roman" w:eastAsia="宋体" w:cs="Times New Roman"/>
                <w:color w:val="000000" w:themeColor="text1"/>
                <w:szCs w:val="21"/>
                <w14:textFill>
                  <w14:solidFill>
                    <w14:schemeClr w14:val="tx1"/>
                  </w14:solidFill>
                </w14:textFill>
              </w:rPr>
              <w:t>4.2.1</w:t>
            </w:r>
          </w:p>
        </w:tc>
        <w:tc>
          <w:tcPr>
            <w:tcW w:w="2552" w:type="dxa"/>
            <w:vAlign w:val="center"/>
          </w:tcPr>
          <w:p>
            <w:pPr>
              <w:jc w:val="center"/>
              <w:rPr>
                <w:rFonts w:ascii="Times New Roman" w:hAnsi="Times New Roman" w:eastAsia="宋体"/>
                <w:szCs w:val="21"/>
              </w:rPr>
            </w:pPr>
            <w:r>
              <w:rPr>
                <w:rFonts w:hint="eastAsia" w:ascii="Times New Roman" w:hAnsi="Times New Roman" w:eastAsia="宋体" w:cs="Arial"/>
                <w:color w:val="000000" w:themeColor="text1"/>
                <w:szCs w:val="21"/>
                <w14:textFill>
                  <w14:solidFill>
                    <w14:schemeClr w14:val="tx1"/>
                  </w14:solidFill>
                </w14:textFill>
              </w:rPr>
              <w:t>蛋白</w:t>
            </w:r>
            <w:r>
              <w:rPr>
                <w:rFonts w:ascii="Times New Roman" w:hAnsi="Times New Roman" w:eastAsia="宋体" w:cs="Arial"/>
                <w:color w:val="000000" w:themeColor="text1"/>
                <w:szCs w:val="21"/>
                <w14:textFill>
                  <w14:solidFill>
                    <w14:schemeClr w14:val="tx1"/>
                  </w14:solidFill>
                </w14:textFill>
              </w:rPr>
              <w:t>质</w:t>
            </w:r>
            <w:r>
              <w:rPr>
                <w:rFonts w:hint="eastAsia" w:ascii="Times New Roman" w:hAnsi="Times New Roman" w:eastAsia="宋体" w:cs="Arial"/>
                <w:color w:val="000000" w:themeColor="text1"/>
                <w:szCs w:val="21"/>
                <w14:textFill>
                  <w14:solidFill>
                    <w14:schemeClr w14:val="tx1"/>
                  </w14:solidFill>
                </w14:textFill>
              </w:rPr>
              <w:t>的</w:t>
            </w:r>
            <w:r>
              <w:rPr>
                <w:rFonts w:ascii="Times New Roman" w:hAnsi="Times New Roman" w:eastAsia="宋体" w:cs="Arial"/>
                <w:color w:val="000000" w:themeColor="text1"/>
                <w:szCs w:val="21"/>
                <w14:textFill>
                  <w14:solidFill>
                    <w14:schemeClr w14:val="tx1"/>
                  </w14:solidFill>
                </w14:textFill>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restart"/>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五</w:t>
            </w:r>
          </w:p>
        </w:tc>
        <w:tc>
          <w:tcPr>
            <w:tcW w:w="1134" w:type="dxa"/>
            <w:vMerge w:val="restart"/>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核酸</w:t>
            </w:r>
          </w:p>
        </w:tc>
        <w:tc>
          <w:tcPr>
            <w:tcW w:w="993"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5.1</w:t>
            </w:r>
          </w:p>
        </w:tc>
        <w:tc>
          <w:tcPr>
            <w:tcW w:w="2126"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核酸</w:t>
            </w:r>
            <w:r>
              <w:rPr>
                <w:rFonts w:ascii="Times New Roman" w:hAnsi="Times New Roman" w:eastAsia="宋体" w:cs="Arial"/>
                <w:color w:val="000000" w:themeColor="text1"/>
                <w:szCs w:val="21"/>
                <w14:textFill>
                  <w14:solidFill>
                    <w14:schemeClr w14:val="tx1"/>
                  </w14:solidFill>
                </w14:textFill>
              </w:rPr>
              <w:t>概述</w:t>
            </w:r>
          </w:p>
        </w:tc>
        <w:tc>
          <w:tcPr>
            <w:tcW w:w="992"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5.1.1</w:t>
            </w:r>
          </w:p>
          <w:p>
            <w:pPr>
              <w:jc w:val="center"/>
              <w:rPr>
                <w:rFonts w:ascii="Times New Roman" w:hAnsi="Times New Roman" w:eastAsia="宋体"/>
                <w:szCs w:val="21"/>
              </w:rPr>
            </w:pPr>
            <w:r>
              <w:rPr>
                <w:rFonts w:ascii="Times New Roman" w:hAnsi="Times New Roman" w:eastAsia="宋体" w:cs="Times New Roman"/>
                <w:color w:val="000000" w:themeColor="text1"/>
                <w:szCs w:val="21"/>
                <w14:textFill>
                  <w14:solidFill>
                    <w14:schemeClr w14:val="tx1"/>
                  </w14:solidFill>
                </w14:textFill>
              </w:rPr>
              <w:t>5.1.2</w:t>
            </w:r>
          </w:p>
        </w:tc>
        <w:tc>
          <w:tcPr>
            <w:tcW w:w="2552" w:type="dxa"/>
            <w:vAlign w:val="center"/>
          </w:tcPr>
          <w:p>
            <w:pPr>
              <w:jc w:val="center"/>
              <w:rPr>
                <w:rFonts w:ascii="Times New Roman" w:hAnsi="Times New Roman" w:eastAsia="宋体"/>
                <w:szCs w:val="21"/>
              </w:rPr>
            </w:pPr>
            <w:r>
              <w:rPr>
                <w:rFonts w:hint="eastAsia" w:ascii="Times New Roman" w:hAnsi="Times New Roman" w:eastAsia="宋体"/>
                <w:szCs w:val="21"/>
              </w:rPr>
              <w:t>核酸的定义</w:t>
            </w:r>
          </w:p>
          <w:p>
            <w:pPr>
              <w:jc w:val="center"/>
              <w:rPr>
                <w:rFonts w:ascii="Times New Roman" w:hAnsi="Times New Roman" w:eastAsia="宋体"/>
                <w:szCs w:val="21"/>
              </w:rPr>
            </w:pPr>
            <w:r>
              <w:rPr>
                <w:rFonts w:hint="eastAsia" w:ascii="Times New Roman" w:hAnsi="Times New Roman" w:eastAsia="宋体"/>
                <w:szCs w:val="21"/>
              </w:rPr>
              <w:t>核酸的分类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continue"/>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p>
        </w:tc>
        <w:tc>
          <w:tcPr>
            <w:tcW w:w="1134" w:type="dxa"/>
            <w:vMerge w:val="continue"/>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p>
        </w:tc>
        <w:tc>
          <w:tcPr>
            <w:tcW w:w="993"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5.2</w:t>
            </w:r>
          </w:p>
        </w:tc>
        <w:tc>
          <w:tcPr>
            <w:tcW w:w="2126"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DNA</w:t>
            </w:r>
            <w:r>
              <w:rPr>
                <w:rFonts w:ascii="Times New Roman" w:hAnsi="Times New Roman" w:eastAsia="宋体" w:cs="Arial"/>
                <w:color w:val="000000" w:themeColor="text1"/>
                <w:szCs w:val="21"/>
                <w14:textFill>
                  <w14:solidFill>
                    <w14:schemeClr w14:val="tx1"/>
                  </w14:solidFill>
                </w14:textFill>
              </w:rPr>
              <w:t>结构</w:t>
            </w:r>
          </w:p>
        </w:tc>
        <w:tc>
          <w:tcPr>
            <w:tcW w:w="992"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5.2.1</w:t>
            </w:r>
          </w:p>
          <w:p>
            <w:pPr>
              <w:jc w:val="center"/>
              <w:rPr>
                <w:rFonts w:ascii="Times New Roman" w:hAnsi="Times New Roman" w:eastAsia="宋体"/>
                <w:szCs w:val="21"/>
              </w:rPr>
            </w:pPr>
            <w:r>
              <w:rPr>
                <w:rFonts w:ascii="Times New Roman" w:hAnsi="Times New Roman" w:eastAsia="宋体" w:cs="Times New Roman"/>
                <w:color w:val="000000" w:themeColor="text1"/>
                <w:szCs w:val="21"/>
                <w14:textFill>
                  <w14:solidFill>
                    <w14:schemeClr w14:val="tx1"/>
                  </w14:solidFill>
                </w14:textFill>
              </w:rPr>
              <w:t>5.2.2</w:t>
            </w:r>
          </w:p>
        </w:tc>
        <w:tc>
          <w:tcPr>
            <w:tcW w:w="2552" w:type="dxa"/>
            <w:vAlign w:val="center"/>
          </w:tcPr>
          <w:p>
            <w:pPr>
              <w:jc w:val="center"/>
              <w:rPr>
                <w:rFonts w:ascii="Times New Roman" w:hAnsi="Times New Roman" w:eastAsia="宋体"/>
                <w:szCs w:val="21"/>
              </w:rPr>
            </w:pPr>
            <w:r>
              <w:rPr>
                <w:rFonts w:hint="eastAsia" w:ascii="Times New Roman" w:hAnsi="Times New Roman" w:eastAsia="宋体"/>
                <w:szCs w:val="21"/>
              </w:rPr>
              <w:t>DNA的一级结构</w:t>
            </w:r>
          </w:p>
          <w:p>
            <w:pPr>
              <w:jc w:val="center"/>
              <w:rPr>
                <w:rFonts w:ascii="Times New Roman" w:hAnsi="Times New Roman" w:eastAsia="宋体"/>
                <w:szCs w:val="21"/>
              </w:rPr>
            </w:pPr>
            <w:r>
              <w:rPr>
                <w:rFonts w:hint="eastAsia" w:ascii="Times New Roman" w:hAnsi="Times New Roman" w:eastAsia="宋体"/>
                <w:szCs w:val="21"/>
              </w:rPr>
              <w:t>DNA的二级结构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continue"/>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p>
        </w:tc>
        <w:tc>
          <w:tcPr>
            <w:tcW w:w="1134" w:type="dxa"/>
            <w:vMerge w:val="continue"/>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p>
        </w:tc>
        <w:tc>
          <w:tcPr>
            <w:tcW w:w="993"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5.3</w:t>
            </w:r>
          </w:p>
        </w:tc>
        <w:tc>
          <w:tcPr>
            <w:tcW w:w="2126"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RNA</w:t>
            </w:r>
            <w:r>
              <w:rPr>
                <w:rFonts w:ascii="Times New Roman" w:hAnsi="Times New Roman" w:eastAsia="宋体" w:cs="Arial"/>
                <w:color w:val="000000" w:themeColor="text1"/>
                <w:szCs w:val="21"/>
                <w14:textFill>
                  <w14:solidFill>
                    <w14:schemeClr w14:val="tx1"/>
                  </w14:solidFill>
                </w14:textFill>
              </w:rPr>
              <w:t>结构</w:t>
            </w:r>
          </w:p>
        </w:tc>
        <w:tc>
          <w:tcPr>
            <w:tcW w:w="992"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5.3.1</w:t>
            </w:r>
          </w:p>
          <w:p>
            <w:pPr>
              <w:jc w:val="center"/>
              <w:rPr>
                <w:rFonts w:ascii="Times New Roman" w:hAnsi="Times New Roman" w:eastAsia="宋体"/>
                <w:szCs w:val="21"/>
              </w:rPr>
            </w:pPr>
            <w:r>
              <w:rPr>
                <w:rFonts w:ascii="Times New Roman" w:hAnsi="Times New Roman" w:eastAsia="宋体" w:cs="Times New Roman"/>
                <w:color w:val="000000" w:themeColor="text1"/>
                <w:szCs w:val="21"/>
                <w14:textFill>
                  <w14:solidFill>
                    <w14:schemeClr w14:val="tx1"/>
                  </w14:solidFill>
                </w14:textFill>
              </w:rPr>
              <w:t>5.3.2</w:t>
            </w:r>
          </w:p>
        </w:tc>
        <w:tc>
          <w:tcPr>
            <w:tcW w:w="2552" w:type="dxa"/>
            <w:vAlign w:val="center"/>
          </w:tcPr>
          <w:p>
            <w:pPr>
              <w:jc w:val="center"/>
              <w:rPr>
                <w:rFonts w:ascii="Times New Roman" w:hAnsi="Times New Roman" w:eastAsia="宋体"/>
                <w:szCs w:val="21"/>
              </w:rPr>
            </w:pPr>
            <w:r>
              <w:rPr>
                <w:rFonts w:hint="eastAsia" w:ascii="Times New Roman" w:hAnsi="Times New Roman" w:eastAsia="宋体"/>
                <w:szCs w:val="21"/>
              </w:rPr>
              <w:t>RNA的一级结构</w:t>
            </w:r>
          </w:p>
          <w:p>
            <w:pPr>
              <w:jc w:val="center"/>
              <w:rPr>
                <w:rFonts w:ascii="Times New Roman" w:hAnsi="Times New Roman" w:eastAsia="宋体"/>
                <w:szCs w:val="21"/>
              </w:rPr>
            </w:pPr>
            <w:r>
              <w:rPr>
                <w:rFonts w:hint="eastAsia" w:ascii="Times New Roman" w:hAnsi="Times New Roman" w:eastAsia="宋体"/>
                <w:szCs w:val="21"/>
              </w:rPr>
              <w:t>RNA的二级结构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continue"/>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p>
        </w:tc>
        <w:tc>
          <w:tcPr>
            <w:tcW w:w="1134" w:type="dxa"/>
            <w:vMerge w:val="continue"/>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p>
        </w:tc>
        <w:tc>
          <w:tcPr>
            <w:tcW w:w="993"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5.4</w:t>
            </w:r>
          </w:p>
        </w:tc>
        <w:tc>
          <w:tcPr>
            <w:tcW w:w="2126"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核酸的</w:t>
            </w:r>
            <w:r>
              <w:rPr>
                <w:rFonts w:ascii="Times New Roman" w:hAnsi="Times New Roman" w:eastAsia="宋体" w:cs="Arial"/>
                <w:color w:val="000000" w:themeColor="text1"/>
                <w:szCs w:val="21"/>
                <w14:textFill>
                  <w14:solidFill>
                    <w14:schemeClr w14:val="tx1"/>
                  </w14:solidFill>
                </w14:textFill>
              </w:rPr>
              <w:t>性质</w:t>
            </w:r>
          </w:p>
        </w:tc>
        <w:tc>
          <w:tcPr>
            <w:tcW w:w="992" w:type="dxa"/>
            <w:vAlign w:val="center"/>
          </w:tcPr>
          <w:p>
            <w:pPr>
              <w:jc w:val="center"/>
              <w:rPr>
                <w:rFonts w:ascii="Times New Roman" w:hAnsi="Times New Roman" w:eastAsia="宋体"/>
                <w:szCs w:val="21"/>
              </w:rPr>
            </w:pPr>
            <w:r>
              <w:rPr>
                <w:rFonts w:ascii="Times New Roman" w:hAnsi="Times New Roman" w:eastAsia="宋体" w:cs="Times New Roman"/>
                <w:color w:val="000000" w:themeColor="text1"/>
                <w:szCs w:val="21"/>
                <w14:textFill>
                  <w14:solidFill>
                    <w14:schemeClr w14:val="tx1"/>
                  </w14:solidFill>
                </w14:textFill>
              </w:rPr>
              <w:t>5.4.1</w:t>
            </w:r>
          </w:p>
        </w:tc>
        <w:tc>
          <w:tcPr>
            <w:tcW w:w="2552" w:type="dxa"/>
            <w:vAlign w:val="center"/>
          </w:tcPr>
          <w:p>
            <w:pPr>
              <w:jc w:val="center"/>
              <w:rPr>
                <w:rFonts w:ascii="Times New Roman" w:hAnsi="Times New Roman" w:eastAsia="宋体"/>
                <w:szCs w:val="21"/>
              </w:rPr>
            </w:pPr>
            <w:r>
              <w:rPr>
                <w:rFonts w:hint="eastAsia" w:ascii="Times New Roman" w:hAnsi="Times New Roman" w:eastAsia="宋体" w:cs="Arial"/>
                <w:color w:val="000000" w:themeColor="text1"/>
                <w:szCs w:val="21"/>
                <w14:textFill>
                  <w14:solidFill>
                    <w14:schemeClr w14:val="tx1"/>
                  </w14:solidFill>
                </w14:textFill>
              </w:rPr>
              <w:t>核酸的</w:t>
            </w:r>
            <w:r>
              <w:rPr>
                <w:rFonts w:ascii="Times New Roman" w:hAnsi="Times New Roman" w:eastAsia="宋体" w:cs="Arial"/>
                <w:color w:val="000000" w:themeColor="text1"/>
                <w:szCs w:val="21"/>
                <w14:textFill>
                  <w14:solidFill>
                    <w14:schemeClr w14:val="tx1"/>
                  </w14:solidFill>
                </w14:textFill>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restart"/>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六</w:t>
            </w:r>
          </w:p>
        </w:tc>
        <w:tc>
          <w:tcPr>
            <w:tcW w:w="1134" w:type="dxa"/>
            <w:vMerge w:val="restart"/>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新陈代谢</w:t>
            </w:r>
            <w:r>
              <w:rPr>
                <w:rFonts w:ascii="Times New Roman" w:hAnsi="Times New Roman" w:eastAsia="宋体" w:cs="Arial"/>
                <w:color w:val="000000" w:themeColor="text1"/>
                <w:szCs w:val="21"/>
                <w14:textFill>
                  <w14:solidFill>
                    <w14:schemeClr w14:val="tx1"/>
                  </w14:solidFill>
                </w14:textFill>
              </w:rPr>
              <w:t>总论与生物氧化</w:t>
            </w:r>
          </w:p>
        </w:tc>
        <w:tc>
          <w:tcPr>
            <w:tcW w:w="993"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6.1</w:t>
            </w:r>
          </w:p>
        </w:tc>
        <w:tc>
          <w:tcPr>
            <w:tcW w:w="2126"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新陈代谢</w:t>
            </w:r>
            <w:r>
              <w:rPr>
                <w:rFonts w:ascii="Times New Roman" w:hAnsi="Times New Roman" w:eastAsia="宋体" w:cs="Arial"/>
                <w:color w:val="000000" w:themeColor="text1"/>
                <w:szCs w:val="21"/>
                <w14:textFill>
                  <w14:solidFill>
                    <w14:schemeClr w14:val="tx1"/>
                  </w14:solidFill>
                </w14:textFill>
              </w:rPr>
              <w:t>总论</w:t>
            </w:r>
          </w:p>
        </w:tc>
        <w:tc>
          <w:tcPr>
            <w:tcW w:w="992" w:type="dxa"/>
            <w:vAlign w:val="center"/>
          </w:tcPr>
          <w:p>
            <w:pPr>
              <w:jc w:val="center"/>
              <w:rPr>
                <w:rFonts w:ascii="Times New Roman" w:hAnsi="Times New Roman" w:eastAsia="宋体"/>
                <w:szCs w:val="21"/>
              </w:rPr>
            </w:pPr>
            <w:r>
              <w:rPr>
                <w:rFonts w:ascii="Times New Roman" w:hAnsi="Times New Roman" w:eastAsia="宋体" w:cs="Times New Roman"/>
                <w:color w:val="000000" w:themeColor="text1"/>
                <w:szCs w:val="21"/>
                <w14:textFill>
                  <w14:solidFill>
                    <w14:schemeClr w14:val="tx1"/>
                  </w14:solidFill>
                </w14:textFill>
              </w:rPr>
              <w:t>6.1.1</w:t>
            </w:r>
          </w:p>
        </w:tc>
        <w:tc>
          <w:tcPr>
            <w:tcW w:w="2552" w:type="dxa"/>
            <w:vAlign w:val="center"/>
          </w:tcPr>
          <w:p>
            <w:pPr>
              <w:jc w:val="center"/>
              <w:rPr>
                <w:rFonts w:ascii="Times New Roman" w:hAnsi="Times New Roman" w:eastAsia="宋体"/>
                <w:szCs w:val="21"/>
              </w:rPr>
            </w:pPr>
            <w:r>
              <w:rPr>
                <w:rFonts w:hint="eastAsia" w:ascii="Times New Roman" w:hAnsi="Times New Roman" w:eastAsia="宋体" w:cs="Arial"/>
                <w:color w:val="000000" w:themeColor="text1"/>
                <w:szCs w:val="21"/>
                <w14:textFill>
                  <w14:solidFill>
                    <w14:schemeClr w14:val="tx1"/>
                  </w14:solidFill>
                </w14:textFill>
              </w:rPr>
              <w:t>新陈代谢的定义及意义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continue"/>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p>
        </w:tc>
        <w:tc>
          <w:tcPr>
            <w:tcW w:w="1134" w:type="dxa"/>
            <w:vMerge w:val="continue"/>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p>
        </w:tc>
        <w:tc>
          <w:tcPr>
            <w:tcW w:w="993"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6.2</w:t>
            </w:r>
          </w:p>
        </w:tc>
        <w:tc>
          <w:tcPr>
            <w:tcW w:w="2126"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生物</w:t>
            </w:r>
            <w:r>
              <w:rPr>
                <w:rFonts w:ascii="Times New Roman" w:hAnsi="Times New Roman" w:eastAsia="宋体" w:cs="Arial"/>
                <w:color w:val="000000" w:themeColor="text1"/>
                <w:szCs w:val="21"/>
                <w14:textFill>
                  <w14:solidFill>
                    <w14:schemeClr w14:val="tx1"/>
                  </w14:solidFill>
                </w14:textFill>
              </w:rPr>
              <w:t>氧化概述</w:t>
            </w:r>
          </w:p>
        </w:tc>
        <w:tc>
          <w:tcPr>
            <w:tcW w:w="992"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6.2.1</w:t>
            </w:r>
          </w:p>
          <w:p>
            <w:pPr>
              <w:jc w:val="center"/>
              <w:rPr>
                <w:rFonts w:ascii="Times New Roman" w:hAnsi="Times New Roman" w:eastAsia="宋体"/>
                <w:szCs w:val="21"/>
              </w:rPr>
            </w:pPr>
            <w:r>
              <w:rPr>
                <w:rFonts w:ascii="Times New Roman" w:hAnsi="Times New Roman" w:eastAsia="宋体" w:cs="Times New Roman"/>
                <w:color w:val="000000" w:themeColor="text1"/>
                <w:szCs w:val="21"/>
                <w14:textFill>
                  <w14:solidFill>
                    <w14:schemeClr w14:val="tx1"/>
                  </w14:solidFill>
                </w14:textFill>
              </w:rPr>
              <w:t>6.2.2</w:t>
            </w:r>
          </w:p>
        </w:tc>
        <w:tc>
          <w:tcPr>
            <w:tcW w:w="2552" w:type="dxa"/>
            <w:vAlign w:val="center"/>
          </w:tcPr>
          <w:p>
            <w:pPr>
              <w:jc w:val="center"/>
              <w:rPr>
                <w:rFonts w:ascii="Times New Roman" w:hAnsi="Times New Roman" w:eastAsia="宋体"/>
                <w:szCs w:val="21"/>
              </w:rPr>
            </w:pPr>
            <w:r>
              <w:rPr>
                <w:rFonts w:hint="eastAsia" w:ascii="Times New Roman" w:hAnsi="Times New Roman" w:eastAsia="宋体"/>
                <w:szCs w:val="21"/>
              </w:rPr>
              <w:t>生物氧化的定义</w:t>
            </w:r>
          </w:p>
          <w:p>
            <w:pPr>
              <w:jc w:val="center"/>
              <w:rPr>
                <w:rFonts w:ascii="Times New Roman" w:hAnsi="Times New Roman" w:eastAsia="宋体"/>
                <w:szCs w:val="21"/>
              </w:rPr>
            </w:pPr>
            <w:r>
              <w:rPr>
                <w:rFonts w:hint="eastAsia" w:ascii="Times New Roman" w:hAnsi="Times New Roman" w:eastAsia="宋体"/>
                <w:szCs w:val="21"/>
              </w:rPr>
              <w:t>生物氧化的特点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continue"/>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p>
        </w:tc>
        <w:tc>
          <w:tcPr>
            <w:tcW w:w="1134" w:type="dxa"/>
            <w:vMerge w:val="continue"/>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p>
        </w:tc>
        <w:tc>
          <w:tcPr>
            <w:tcW w:w="993"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6.3</w:t>
            </w:r>
          </w:p>
        </w:tc>
        <w:tc>
          <w:tcPr>
            <w:tcW w:w="2126"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呼吸链</w:t>
            </w:r>
          </w:p>
        </w:tc>
        <w:tc>
          <w:tcPr>
            <w:tcW w:w="992"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6.3.1</w:t>
            </w:r>
          </w:p>
          <w:p>
            <w:pPr>
              <w:jc w:val="center"/>
              <w:rPr>
                <w:rFonts w:ascii="Times New Roman" w:hAnsi="Times New Roman" w:eastAsia="宋体"/>
                <w:szCs w:val="21"/>
              </w:rPr>
            </w:pPr>
            <w:r>
              <w:rPr>
                <w:rFonts w:ascii="Times New Roman" w:hAnsi="Times New Roman" w:eastAsia="宋体" w:cs="Times New Roman"/>
                <w:color w:val="000000" w:themeColor="text1"/>
                <w:szCs w:val="21"/>
                <w14:textFill>
                  <w14:solidFill>
                    <w14:schemeClr w14:val="tx1"/>
                  </w14:solidFill>
                </w14:textFill>
              </w:rPr>
              <w:t>6.3.2</w:t>
            </w:r>
          </w:p>
        </w:tc>
        <w:tc>
          <w:tcPr>
            <w:tcW w:w="2552" w:type="dxa"/>
            <w:vAlign w:val="center"/>
          </w:tcPr>
          <w:p>
            <w:pPr>
              <w:jc w:val="center"/>
              <w:rPr>
                <w:rFonts w:ascii="Times New Roman" w:hAnsi="Times New Roman" w:eastAsia="宋体"/>
                <w:szCs w:val="21"/>
              </w:rPr>
            </w:pPr>
            <w:r>
              <w:rPr>
                <w:rFonts w:hint="eastAsia" w:ascii="Times New Roman" w:hAnsi="Times New Roman" w:eastAsia="宋体"/>
                <w:szCs w:val="21"/>
              </w:rPr>
              <w:t>呼吸链的组成</w:t>
            </w:r>
          </w:p>
          <w:p>
            <w:pPr>
              <w:jc w:val="center"/>
              <w:rPr>
                <w:rFonts w:ascii="Times New Roman" w:hAnsi="Times New Roman" w:eastAsia="宋体"/>
                <w:szCs w:val="21"/>
              </w:rPr>
            </w:pPr>
            <w:r>
              <w:rPr>
                <w:rFonts w:hint="eastAsia" w:ascii="Times New Roman" w:hAnsi="Times New Roman" w:eastAsia="宋体"/>
                <w:szCs w:val="21"/>
              </w:rPr>
              <w:t>呼吸链的定义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continue"/>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p>
        </w:tc>
        <w:tc>
          <w:tcPr>
            <w:tcW w:w="1134" w:type="dxa"/>
            <w:vMerge w:val="continue"/>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p>
        </w:tc>
        <w:tc>
          <w:tcPr>
            <w:tcW w:w="993"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6.4</w:t>
            </w:r>
          </w:p>
        </w:tc>
        <w:tc>
          <w:tcPr>
            <w:tcW w:w="2126"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氧化磷酸化</w:t>
            </w:r>
          </w:p>
        </w:tc>
        <w:tc>
          <w:tcPr>
            <w:tcW w:w="992"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6.4.1</w:t>
            </w:r>
          </w:p>
          <w:p>
            <w:pPr>
              <w:jc w:val="center"/>
              <w:rPr>
                <w:rFonts w:ascii="Times New Roman" w:hAnsi="Times New Roman" w:eastAsia="宋体"/>
                <w:szCs w:val="21"/>
              </w:rPr>
            </w:pPr>
            <w:r>
              <w:rPr>
                <w:rFonts w:ascii="Times New Roman" w:hAnsi="Times New Roman" w:eastAsia="宋体" w:cs="Times New Roman"/>
                <w:color w:val="000000" w:themeColor="text1"/>
                <w:szCs w:val="21"/>
                <w14:textFill>
                  <w14:solidFill>
                    <w14:schemeClr w14:val="tx1"/>
                  </w14:solidFill>
                </w14:textFill>
              </w:rPr>
              <w:t>6.4.2</w:t>
            </w:r>
          </w:p>
        </w:tc>
        <w:tc>
          <w:tcPr>
            <w:tcW w:w="2552" w:type="dxa"/>
            <w:vAlign w:val="center"/>
          </w:tcPr>
          <w:p>
            <w:pPr>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氧化磷酸化的定义</w:t>
            </w:r>
          </w:p>
          <w:p>
            <w:pPr>
              <w:jc w:val="center"/>
              <w:rPr>
                <w:rFonts w:ascii="Times New Roman" w:hAnsi="Times New Roman" w:eastAsia="宋体"/>
                <w:szCs w:val="21"/>
              </w:rPr>
            </w:pPr>
            <w:r>
              <w:rPr>
                <w:rFonts w:hint="eastAsia" w:ascii="Times New Roman" w:hAnsi="Times New Roman" w:eastAsia="宋体" w:cs="Arial"/>
                <w:color w:val="000000" w:themeColor="text1"/>
                <w:szCs w:val="21"/>
                <w14:textFill>
                  <w14:solidFill>
                    <w14:schemeClr w14:val="tx1"/>
                  </w14:solidFill>
                </w14:textFill>
              </w:rPr>
              <w:t>磷氧比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restart"/>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七</w:t>
            </w:r>
          </w:p>
        </w:tc>
        <w:tc>
          <w:tcPr>
            <w:tcW w:w="1134" w:type="dxa"/>
            <w:vMerge w:val="restart"/>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糖代谢</w:t>
            </w:r>
          </w:p>
        </w:tc>
        <w:tc>
          <w:tcPr>
            <w:tcW w:w="993"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7.1</w:t>
            </w:r>
          </w:p>
        </w:tc>
        <w:tc>
          <w:tcPr>
            <w:tcW w:w="2126"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ascii="Times New Roman" w:hAnsi="Times New Roman" w:eastAsia="宋体" w:cs="Arial"/>
                <w:color w:val="000000" w:themeColor="text1"/>
                <w:szCs w:val="21"/>
                <w14:textFill>
                  <w14:solidFill>
                    <w14:schemeClr w14:val="tx1"/>
                  </w14:solidFill>
                </w14:textFill>
              </w:rPr>
              <w:t>糖酵解</w:t>
            </w:r>
          </w:p>
        </w:tc>
        <w:tc>
          <w:tcPr>
            <w:tcW w:w="992"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7.1.1</w:t>
            </w:r>
          </w:p>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7.1.2</w:t>
            </w:r>
          </w:p>
          <w:p>
            <w:pPr>
              <w:jc w:val="center"/>
              <w:rPr>
                <w:rFonts w:ascii="Times New Roman" w:hAnsi="Times New Roman" w:eastAsia="宋体"/>
                <w:szCs w:val="21"/>
              </w:rPr>
            </w:pPr>
            <w:r>
              <w:rPr>
                <w:rFonts w:ascii="Times New Roman" w:hAnsi="Times New Roman" w:eastAsia="宋体" w:cs="Times New Roman"/>
                <w:color w:val="000000" w:themeColor="text1"/>
                <w:szCs w:val="21"/>
                <w14:textFill>
                  <w14:solidFill>
                    <w14:schemeClr w14:val="tx1"/>
                  </w14:solidFill>
                </w14:textFill>
              </w:rPr>
              <w:t>7.1.3</w:t>
            </w:r>
          </w:p>
        </w:tc>
        <w:tc>
          <w:tcPr>
            <w:tcW w:w="2552" w:type="dxa"/>
            <w:vAlign w:val="center"/>
          </w:tcPr>
          <w:p>
            <w:pPr>
              <w:jc w:val="center"/>
              <w:rPr>
                <w:rFonts w:ascii="Times New Roman" w:hAnsi="Times New Roman" w:eastAsia="宋体"/>
                <w:szCs w:val="21"/>
              </w:rPr>
            </w:pPr>
            <w:r>
              <w:rPr>
                <w:rFonts w:hint="eastAsia" w:ascii="Times New Roman" w:hAnsi="Times New Roman" w:eastAsia="宋体"/>
                <w:szCs w:val="21"/>
              </w:rPr>
              <w:t>糖酵解的定义及意义</w:t>
            </w:r>
          </w:p>
          <w:p>
            <w:pPr>
              <w:jc w:val="center"/>
              <w:rPr>
                <w:rFonts w:ascii="Times New Roman" w:hAnsi="Times New Roman" w:eastAsia="宋体"/>
                <w:szCs w:val="21"/>
              </w:rPr>
            </w:pPr>
            <w:r>
              <w:rPr>
                <w:rFonts w:hint="eastAsia" w:ascii="Times New Roman" w:hAnsi="Times New Roman" w:eastAsia="宋体"/>
                <w:szCs w:val="21"/>
              </w:rPr>
              <w:t>糖酵解的反应历程</w:t>
            </w:r>
          </w:p>
          <w:p>
            <w:pPr>
              <w:jc w:val="center"/>
              <w:rPr>
                <w:rFonts w:ascii="Times New Roman" w:hAnsi="Times New Roman" w:eastAsia="宋体"/>
                <w:szCs w:val="21"/>
              </w:rPr>
            </w:pPr>
            <w:r>
              <w:rPr>
                <w:rFonts w:hint="eastAsia" w:ascii="Times New Roman" w:hAnsi="Times New Roman" w:eastAsia="宋体"/>
                <w:szCs w:val="21"/>
              </w:rPr>
              <w:t>糖酵解的调节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continue"/>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p>
        </w:tc>
        <w:tc>
          <w:tcPr>
            <w:tcW w:w="1134" w:type="dxa"/>
            <w:vMerge w:val="continue"/>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p>
        </w:tc>
        <w:tc>
          <w:tcPr>
            <w:tcW w:w="993"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7.2</w:t>
            </w:r>
          </w:p>
        </w:tc>
        <w:tc>
          <w:tcPr>
            <w:tcW w:w="2126"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丙酮酸去向</w:t>
            </w:r>
          </w:p>
        </w:tc>
        <w:tc>
          <w:tcPr>
            <w:tcW w:w="992"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7.2.1</w:t>
            </w:r>
          </w:p>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7.2.2</w:t>
            </w:r>
          </w:p>
        </w:tc>
        <w:tc>
          <w:tcPr>
            <w:tcW w:w="2552" w:type="dxa"/>
            <w:vAlign w:val="center"/>
          </w:tcPr>
          <w:p>
            <w:pPr>
              <w:jc w:val="center"/>
              <w:rPr>
                <w:rFonts w:ascii="Times New Roman" w:hAnsi="Times New Roman" w:eastAsia="宋体"/>
                <w:szCs w:val="21"/>
              </w:rPr>
            </w:pPr>
            <w:r>
              <w:rPr>
                <w:rFonts w:hint="eastAsia" w:ascii="Times New Roman" w:hAnsi="Times New Roman" w:eastAsia="宋体"/>
                <w:szCs w:val="21"/>
              </w:rPr>
              <w:t>无氧条件的丙酮酸去向</w:t>
            </w:r>
          </w:p>
          <w:p>
            <w:pPr>
              <w:jc w:val="center"/>
              <w:rPr>
                <w:rFonts w:ascii="Times New Roman" w:hAnsi="Times New Roman" w:eastAsia="宋体"/>
                <w:szCs w:val="21"/>
              </w:rPr>
            </w:pPr>
            <w:r>
              <w:rPr>
                <w:rFonts w:hint="eastAsia" w:ascii="Times New Roman" w:hAnsi="Times New Roman" w:eastAsia="宋体"/>
                <w:szCs w:val="21"/>
              </w:rPr>
              <w:t>有氧条件的丙酮酸去向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continue"/>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p>
        </w:tc>
        <w:tc>
          <w:tcPr>
            <w:tcW w:w="1134" w:type="dxa"/>
            <w:vMerge w:val="continue"/>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p>
        </w:tc>
        <w:tc>
          <w:tcPr>
            <w:tcW w:w="993"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7.3</w:t>
            </w:r>
          </w:p>
        </w:tc>
        <w:tc>
          <w:tcPr>
            <w:tcW w:w="2126"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ascii="Times New Roman" w:hAnsi="Times New Roman" w:eastAsia="宋体" w:cs="Arial"/>
                <w:color w:val="000000" w:themeColor="text1"/>
                <w:szCs w:val="21"/>
                <w14:textFill>
                  <w14:solidFill>
                    <w14:schemeClr w14:val="tx1"/>
                  </w14:solidFill>
                </w14:textFill>
              </w:rPr>
              <w:t>三羧酸循环</w:t>
            </w:r>
          </w:p>
        </w:tc>
        <w:tc>
          <w:tcPr>
            <w:tcW w:w="992"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7.3.1</w:t>
            </w:r>
          </w:p>
          <w:p>
            <w:pPr>
              <w:jc w:val="center"/>
              <w:rPr>
                <w:rFonts w:ascii="Times New Roman" w:hAnsi="Times New Roman" w:eastAsia="宋体"/>
                <w:szCs w:val="21"/>
              </w:rPr>
            </w:pPr>
            <w:r>
              <w:rPr>
                <w:rFonts w:ascii="Times New Roman" w:hAnsi="Times New Roman" w:eastAsia="宋体" w:cs="Times New Roman"/>
                <w:color w:val="000000" w:themeColor="text1"/>
                <w:szCs w:val="21"/>
                <w14:textFill>
                  <w14:solidFill>
                    <w14:schemeClr w14:val="tx1"/>
                  </w14:solidFill>
                </w14:textFill>
              </w:rPr>
              <w:t>7.3.2</w:t>
            </w:r>
          </w:p>
        </w:tc>
        <w:tc>
          <w:tcPr>
            <w:tcW w:w="2552" w:type="dxa"/>
            <w:vAlign w:val="center"/>
          </w:tcPr>
          <w:p>
            <w:pPr>
              <w:jc w:val="center"/>
              <w:rPr>
                <w:rFonts w:ascii="Times New Roman" w:hAnsi="Times New Roman" w:eastAsia="宋体"/>
                <w:szCs w:val="21"/>
              </w:rPr>
            </w:pPr>
            <w:r>
              <w:rPr>
                <w:rFonts w:ascii="Times New Roman" w:hAnsi="Times New Roman" w:eastAsia="宋体" w:cs="Arial"/>
                <w:color w:val="000000" w:themeColor="text1"/>
                <w:szCs w:val="21"/>
                <w14:textFill>
                  <w14:solidFill>
                    <w14:schemeClr w14:val="tx1"/>
                  </w14:solidFill>
                </w14:textFill>
              </w:rPr>
              <w:t>三羧酸循环</w:t>
            </w:r>
            <w:r>
              <w:rPr>
                <w:rFonts w:hint="eastAsia" w:ascii="Times New Roman" w:hAnsi="Times New Roman" w:eastAsia="宋体" w:cs="Arial"/>
                <w:color w:val="000000" w:themeColor="text1"/>
                <w:szCs w:val="21"/>
                <w14:textFill>
                  <w14:solidFill>
                    <w14:schemeClr w14:val="tx1"/>
                  </w14:solidFill>
                </w14:textFill>
              </w:rPr>
              <w:t>的</w:t>
            </w:r>
            <w:r>
              <w:rPr>
                <w:rFonts w:hint="eastAsia" w:ascii="Times New Roman" w:hAnsi="Times New Roman" w:eastAsia="宋体"/>
                <w:szCs w:val="21"/>
              </w:rPr>
              <w:t>定义及意义</w:t>
            </w:r>
            <w:r>
              <w:rPr>
                <w:rFonts w:ascii="Times New Roman" w:hAnsi="Times New Roman" w:eastAsia="宋体" w:cs="Arial"/>
                <w:color w:val="000000" w:themeColor="text1"/>
                <w:szCs w:val="21"/>
                <w14:textFill>
                  <w14:solidFill>
                    <w14:schemeClr w14:val="tx1"/>
                  </w14:solidFill>
                </w14:textFill>
              </w:rPr>
              <w:t>三羧酸循环</w:t>
            </w:r>
            <w:r>
              <w:rPr>
                <w:rFonts w:hint="eastAsia" w:ascii="Times New Roman" w:hAnsi="Times New Roman" w:eastAsia="宋体" w:cs="Arial"/>
                <w:color w:val="000000" w:themeColor="text1"/>
                <w:szCs w:val="21"/>
                <w14:textFill>
                  <w14:solidFill>
                    <w14:schemeClr w14:val="tx1"/>
                  </w14:solidFill>
                </w14:textFill>
              </w:rPr>
              <w:t>的反应过程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restart"/>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八</w:t>
            </w:r>
          </w:p>
        </w:tc>
        <w:tc>
          <w:tcPr>
            <w:tcW w:w="1134" w:type="dxa"/>
            <w:vMerge w:val="restart"/>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脂肪</w:t>
            </w:r>
            <w:r>
              <w:rPr>
                <w:rFonts w:ascii="Times New Roman" w:hAnsi="Times New Roman" w:eastAsia="宋体" w:cs="Arial"/>
                <w:color w:val="000000" w:themeColor="text1"/>
                <w:szCs w:val="21"/>
                <w14:textFill>
                  <w14:solidFill>
                    <w14:schemeClr w14:val="tx1"/>
                  </w14:solidFill>
                </w14:textFill>
              </w:rPr>
              <w:t>代谢</w:t>
            </w:r>
          </w:p>
        </w:tc>
        <w:tc>
          <w:tcPr>
            <w:tcW w:w="993"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8.1</w:t>
            </w:r>
          </w:p>
        </w:tc>
        <w:tc>
          <w:tcPr>
            <w:tcW w:w="2126"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ascii="Times New Roman" w:hAnsi="Times New Roman" w:eastAsia="宋体" w:cs="Arial"/>
                <w:color w:val="000000" w:themeColor="text1"/>
                <w:szCs w:val="21"/>
                <w14:textFill>
                  <w14:solidFill>
                    <w14:schemeClr w14:val="tx1"/>
                  </w14:solidFill>
                </w14:textFill>
              </w:rPr>
              <w:t>脂肪的酶促水解</w:t>
            </w:r>
            <w:r>
              <w:rPr>
                <w:rFonts w:hint="eastAsia" w:ascii="Times New Roman" w:hAnsi="Times New Roman" w:eastAsia="宋体" w:cs="Arial"/>
                <w:color w:val="000000" w:themeColor="text1"/>
                <w:szCs w:val="21"/>
                <w14:textFill>
                  <w14:solidFill>
                    <w14:schemeClr w14:val="tx1"/>
                  </w14:solidFill>
                </w14:textFill>
              </w:rPr>
              <w:t>及</w:t>
            </w:r>
            <w:r>
              <w:rPr>
                <w:rFonts w:ascii="Times New Roman" w:hAnsi="Times New Roman" w:eastAsia="宋体" w:cs="Arial"/>
                <w:color w:val="000000" w:themeColor="text1"/>
                <w:szCs w:val="21"/>
                <w14:textFill>
                  <w14:solidFill>
                    <w14:schemeClr w14:val="tx1"/>
                  </w14:solidFill>
                </w14:textFill>
              </w:rPr>
              <w:t>甘油的分解代谢</w:t>
            </w:r>
          </w:p>
        </w:tc>
        <w:tc>
          <w:tcPr>
            <w:tcW w:w="992"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8.1.1</w:t>
            </w:r>
          </w:p>
          <w:p>
            <w:pPr>
              <w:jc w:val="center"/>
              <w:rPr>
                <w:rFonts w:ascii="Times New Roman" w:hAnsi="Times New Roman" w:eastAsia="宋体"/>
                <w:szCs w:val="21"/>
              </w:rPr>
            </w:pPr>
            <w:r>
              <w:rPr>
                <w:rFonts w:ascii="Times New Roman" w:hAnsi="Times New Roman" w:eastAsia="宋体" w:cs="Times New Roman"/>
                <w:color w:val="000000" w:themeColor="text1"/>
                <w:szCs w:val="21"/>
                <w14:textFill>
                  <w14:solidFill>
                    <w14:schemeClr w14:val="tx1"/>
                  </w14:solidFill>
                </w14:textFill>
              </w:rPr>
              <w:t>8.1.2</w:t>
            </w:r>
          </w:p>
        </w:tc>
        <w:tc>
          <w:tcPr>
            <w:tcW w:w="2552" w:type="dxa"/>
            <w:vAlign w:val="center"/>
          </w:tcPr>
          <w:p>
            <w:pPr>
              <w:jc w:val="center"/>
              <w:rPr>
                <w:rFonts w:ascii="Times New Roman" w:hAnsi="Times New Roman" w:eastAsia="宋体" w:cs="Arial"/>
                <w:color w:val="000000" w:themeColor="text1"/>
                <w:szCs w:val="21"/>
                <w14:textFill>
                  <w14:solidFill>
                    <w14:schemeClr w14:val="tx1"/>
                  </w14:solidFill>
                </w14:textFill>
              </w:rPr>
            </w:pPr>
            <w:r>
              <w:rPr>
                <w:rFonts w:ascii="Times New Roman" w:hAnsi="Times New Roman" w:eastAsia="宋体" w:cs="Arial"/>
                <w:color w:val="000000" w:themeColor="text1"/>
                <w:szCs w:val="21"/>
                <w14:textFill>
                  <w14:solidFill>
                    <w14:schemeClr w14:val="tx1"/>
                  </w14:solidFill>
                </w14:textFill>
              </w:rPr>
              <w:t>脂肪的酶促水解</w:t>
            </w:r>
          </w:p>
          <w:p>
            <w:pPr>
              <w:jc w:val="center"/>
              <w:rPr>
                <w:rFonts w:ascii="Times New Roman" w:hAnsi="Times New Roman" w:eastAsia="宋体"/>
                <w:szCs w:val="21"/>
              </w:rPr>
            </w:pPr>
            <w:r>
              <w:rPr>
                <w:rFonts w:ascii="Times New Roman" w:hAnsi="Times New Roman" w:eastAsia="宋体" w:cs="Arial"/>
                <w:color w:val="000000" w:themeColor="text1"/>
                <w:szCs w:val="21"/>
                <w14:textFill>
                  <w14:solidFill>
                    <w14:schemeClr w14:val="tx1"/>
                  </w14:solidFill>
                </w14:textFill>
              </w:rPr>
              <w:t>甘油的分解代谢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continue"/>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p>
        </w:tc>
        <w:tc>
          <w:tcPr>
            <w:tcW w:w="1134" w:type="dxa"/>
            <w:vMerge w:val="continue"/>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p>
        </w:tc>
        <w:tc>
          <w:tcPr>
            <w:tcW w:w="993"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8.2</w:t>
            </w:r>
          </w:p>
        </w:tc>
        <w:tc>
          <w:tcPr>
            <w:tcW w:w="2126"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ascii="Times New Roman" w:hAnsi="Times New Roman" w:eastAsia="宋体" w:cs="Arial"/>
                <w:color w:val="000000" w:themeColor="text1"/>
                <w:szCs w:val="21"/>
                <w14:textFill>
                  <w14:solidFill>
                    <w14:schemeClr w14:val="tx1"/>
                  </w14:solidFill>
                </w14:textFill>
              </w:rPr>
              <w:t>脂肪酸的β</w:t>
            </w:r>
            <w:r>
              <w:rPr>
                <w:rFonts w:hint="eastAsia" w:ascii="Times New Roman" w:hAnsi="Times New Roman" w:eastAsia="宋体" w:cs="Arial"/>
                <w:color w:val="000000" w:themeColor="text1"/>
                <w:szCs w:val="21"/>
                <w14:textFill>
                  <w14:solidFill>
                    <w14:schemeClr w14:val="tx1"/>
                  </w14:solidFill>
                </w14:textFill>
              </w:rPr>
              <w:t>-氧化</w:t>
            </w:r>
          </w:p>
        </w:tc>
        <w:tc>
          <w:tcPr>
            <w:tcW w:w="992"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8.2.1</w:t>
            </w:r>
          </w:p>
          <w:p>
            <w:pPr>
              <w:jc w:val="center"/>
              <w:rPr>
                <w:rFonts w:ascii="Times New Roman" w:hAnsi="Times New Roman" w:eastAsia="宋体"/>
                <w:szCs w:val="21"/>
              </w:rPr>
            </w:pPr>
            <w:r>
              <w:rPr>
                <w:rFonts w:ascii="Times New Roman" w:hAnsi="Times New Roman" w:eastAsia="宋体" w:cs="Times New Roman"/>
                <w:color w:val="000000" w:themeColor="text1"/>
                <w:szCs w:val="21"/>
                <w14:textFill>
                  <w14:solidFill>
                    <w14:schemeClr w14:val="tx1"/>
                  </w14:solidFill>
                </w14:textFill>
              </w:rPr>
              <w:t>8.2.2</w:t>
            </w:r>
          </w:p>
        </w:tc>
        <w:tc>
          <w:tcPr>
            <w:tcW w:w="2552" w:type="dxa"/>
            <w:vAlign w:val="center"/>
          </w:tcPr>
          <w:p>
            <w:pPr>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szCs w:val="21"/>
              </w:rPr>
              <w:t>饱合</w:t>
            </w:r>
            <w:r>
              <w:rPr>
                <w:rFonts w:ascii="Times New Roman" w:hAnsi="Times New Roman" w:eastAsia="宋体" w:cs="Arial"/>
                <w:color w:val="000000" w:themeColor="text1"/>
                <w:szCs w:val="21"/>
                <w14:textFill>
                  <w14:solidFill>
                    <w14:schemeClr w14:val="tx1"/>
                  </w14:solidFill>
                </w14:textFill>
              </w:rPr>
              <w:t>脂肪酸的β</w:t>
            </w:r>
            <w:r>
              <w:rPr>
                <w:rFonts w:hint="eastAsia" w:ascii="Times New Roman" w:hAnsi="Times New Roman" w:eastAsia="宋体" w:cs="Arial"/>
                <w:color w:val="000000" w:themeColor="text1"/>
                <w:szCs w:val="21"/>
                <w14:textFill>
                  <w14:solidFill>
                    <w14:schemeClr w14:val="tx1"/>
                  </w14:solidFill>
                </w14:textFill>
              </w:rPr>
              <w:t>-氧化</w:t>
            </w:r>
          </w:p>
          <w:p>
            <w:pPr>
              <w:jc w:val="center"/>
              <w:rPr>
                <w:rFonts w:ascii="Times New Roman" w:hAnsi="Times New Roman" w:eastAsia="宋体"/>
                <w:szCs w:val="21"/>
              </w:rPr>
            </w:pPr>
            <w:r>
              <w:rPr>
                <w:rFonts w:hint="eastAsia" w:ascii="Times New Roman" w:hAnsi="Times New Roman" w:eastAsia="宋体" w:cs="Arial"/>
                <w:color w:val="000000" w:themeColor="text1"/>
                <w:szCs w:val="21"/>
                <w14:textFill>
                  <w14:solidFill>
                    <w14:schemeClr w14:val="tx1"/>
                  </w14:solidFill>
                </w14:textFill>
              </w:rPr>
              <w:t>不</w:t>
            </w:r>
            <w:r>
              <w:rPr>
                <w:rFonts w:hint="eastAsia" w:ascii="Times New Roman" w:hAnsi="Times New Roman" w:eastAsia="宋体"/>
                <w:szCs w:val="21"/>
              </w:rPr>
              <w:t>饱合</w:t>
            </w:r>
            <w:r>
              <w:rPr>
                <w:rFonts w:ascii="Times New Roman" w:hAnsi="Times New Roman" w:eastAsia="宋体" w:cs="Arial"/>
                <w:color w:val="000000" w:themeColor="text1"/>
                <w:szCs w:val="21"/>
                <w14:textFill>
                  <w14:solidFill>
                    <w14:schemeClr w14:val="tx1"/>
                  </w14:solidFill>
                </w14:textFill>
              </w:rPr>
              <w:t>脂肪酸的β</w:t>
            </w:r>
            <w:r>
              <w:rPr>
                <w:rFonts w:hint="eastAsia" w:ascii="Times New Roman" w:hAnsi="Times New Roman" w:eastAsia="宋体" w:cs="Arial"/>
                <w:color w:val="000000" w:themeColor="text1"/>
                <w:szCs w:val="21"/>
                <w14:textFill>
                  <w14:solidFill>
                    <w14:schemeClr w14:val="tx1"/>
                  </w14:solidFill>
                </w14:textFill>
              </w:rPr>
              <w:t>-氧化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restart"/>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九</w:t>
            </w:r>
          </w:p>
        </w:tc>
        <w:tc>
          <w:tcPr>
            <w:tcW w:w="1134" w:type="dxa"/>
            <w:vMerge w:val="restart"/>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蛋白质</w:t>
            </w:r>
            <w:r>
              <w:rPr>
                <w:rFonts w:ascii="Times New Roman" w:hAnsi="Times New Roman" w:eastAsia="宋体" w:cs="Arial"/>
                <w:color w:val="000000" w:themeColor="text1"/>
                <w:szCs w:val="21"/>
                <w14:textFill>
                  <w14:solidFill>
                    <w14:schemeClr w14:val="tx1"/>
                  </w14:solidFill>
                </w14:textFill>
              </w:rPr>
              <w:t>的</w:t>
            </w:r>
            <w:r>
              <w:rPr>
                <w:rFonts w:hint="eastAsia" w:ascii="Times New Roman" w:hAnsi="Times New Roman" w:eastAsia="宋体" w:cs="Arial"/>
                <w:color w:val="000000" w:themeColor="text1"/>
                <w:szCs w:val="21"/>
                <w14:textFill>
                  <w14:solidFill>
                    <w14:schemeClr w14:val="tx1"/>
                  </w14:solidFill>
                </w14:textFill>
              </w:rPr>
              <w:t>降解</w:t>
            </w:r>
            <w:r>
              <w:rPr>
                <w:rFonts w:ascii="Times New Roman" w:hAnsi="Times New Roman" w:eastAsia="宋体" w:cs="Arial"/>
                <w:color w:val="000000" w:themeColor="text1"/>
                <w:szCs w:val="21"/>
                <w14:textFill>
                  <w14:solidFill>
                    <w14:schemeClr w14:val="tx1"/>
                  </w14:solidFill>
                </w14:textFill>
              </w:rPr>
              <w:t>和氨基酸代谢</w:t>
            </w:r>
          </w:p>
        </w:tc>
        <w:tc>
          <w:tcPr>
            <w:tcW w:w="993"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9.1</w:t>
            </w:r>
          </w:p>
        </w:tc>
        <w:tc>
          <w:tcPr>
            <w:tcW w:w="2126"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氨基酸</w:t>
            </w:r>
            <w:r>
              <w:rPr>
                <w:rFonts w:ascii="Times New Roman" w:hAnsi="Times New Roman" w:eastAsia="宋体" w:cs="Arial"/>
                <w:color w:val="000000" w:themeColor="text1"/>
                <w:szCs w:val="21"/>
                <w14:textFill>
                  <w14:solidFill>
                    <w14:schemeClr w14:val="tx1"/>
                  </w14:solidFill>
                </w14:textFill>
              </w:rPr>
              <w:t>转氨基作用</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color w:val="000000" w:themeColor="text1"/>
                <w:szCs w:val="21"/>
                <w14:textFill>
                  <w14:solidFill>
                    <w14:schemeClr w14:val="tx1"/>
                  </w14:solidFill>
                </w14:textFill>
              </w:rPr>
              <w:t>9.1.1</w:t>
            </w:r>
          </w:p>
        </w:tc>
        <w:tc>
          <w:tcPr>
            <w:tcW w:w="2552" w:type="dxa"/>
            <w:vAlign w:val="center"/>
          </w:tcPr>
          <w:p>
            <w:pPr>
              <w:jc w:val="center"/>
              <w:rPr>
                <w:rFonts w:ascii="Times New Roman" w:hAnsi="Times New Roman" w:eastAsia="宋体"/>
                <w:szCs w:val="21"/>
              </w:rPr>
            </w:pPr>
            <w:r>
              <w:rPr>
                <w:rFonts w:hint="eastAsia" w:ascii="Times New Roman" w:hAnsi="Times New Roman" w:eastAsia="宋体"/>
                <w:szCs w:val="21"/>
              </w:rPr>
              <w:t>转氨反应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continue"/>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p>
        </w:tc>
        <w:tc>
          <w:tcPr>
            <w:tcW w:w="1134" w:type="dxa"/>
            <w:vMerge w:val="continue"/>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p>
        </w:tc>
        <w:tc>
          <w:tcPr>
            <w:tcW w:w="993"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9.2</w:t>
            </w:r>
          </w:p>
        </w:tc>
        <w:tc>
          <w:tcPr>
            <w:tcW w:w="2126"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氨基酸的脱</w:t>
            </w:r>
            <w:r>
              <w:rPr>
                <w:rFonts w:ascii="Times New Roman" w:hAnsi="Times New Roman" w:eastAsia="宋体" w:cs="Arial"/>
                <w:color w:val="000000" w:themeColor="text1"/>
                <w:szCs w:val="21"/>
                <w14:textFill>
                  <w14:solidFill>
                    <w14:schemeClr w14:val="tx1"/>
                  </w14:solidFill>
                </w14:textFill>
              </w:rPr>
              <w:t>氨基作用</w:t>
            </w:r>
          </w:p>
        </w:tc>
        <w:tc>
          <w:tcPr>
            <w:tcW w:w="992"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9.2.</w:t>
            </w:r>
            <w:r>
              <w:rPr>
                <w:rFonts w:ascii="Times New Roman" w:hAnsi="Times New Roman" w:eastAsia="宋体" w:cs="Arial"/>
                <w:color w:val="000000" w:themeColor="text1"/>
                <w:szCs w:val="21"/>
                <w14:textFill>
                  <w14:solidFill>
                    <w14:schemeClr w14:val="tx1"/>
                  </w14:solidFill>
                </w14:textFill>
              </w:rPr>
              <w:t>1</w:t>
            </w:r>
          </w:p>
          <w:p>
            <w:pPr>
              <w:jc w:val="center"/>
              <w:rPr>
                <w:rFonts w:ascii="Times New Roman" w:hAnsi="Times New Roman" w:eastAsia="宋体" w:cs="Times New Roman"/>
                <w:szCs w:val="21"/>
              </w:rPr>
            </w:pPr>
            <w:r>
              <w:rPr>
                <w:rFonts w:hint="eastAsia" w:ascii="Times New Roman" w:hAnsi="Times New Roman" w:eastAsia="宋体" w:cs="Arial"/>
                <w:color w:val="000000" w:themeColor="text1"/>
                <w:szCs w:val="21"/>
                <w14:textFill>
                  <w14:solidFill>
                    <w14:schemeClr w14:val="tx1"/>
                  </w14:solidFill>
                </w14:textFill>
              </w:rPr>
              <w:t>9.2.</w:t>
            </w:r>
            <w:r>
              <w:rPr>
                <w:rFonts w:ascii="Times New Roman" w:hAnsi="Times New Roman" w:eastAsia="宋体" w:cs="Arial"/>
                <w:color w:val="000000" w:themeColor="text1"/>
                <w:szCs w:val="21"/>
                <w14:textFill>
                  <w14:solidFill>
                    <w14:schemeClr w14:val="tx1"/>
                  </w14:solidFill>
                </w14:textFill>
              </w:rPr>
              <w:t>2</w:t>
            </w:r>
          </w:p>
        </w:tc>
        <w:tc>
          <w:tcPr>
            <w:tcW w:w="2552" w:type="dxa"/>
            <w:vAlign w:val="center"/>
          </w:tcPr>
          <w:p>
            <w:pPr>
              <w:jc w:val="center"/>
              <w:rPr>
                <w:rFonts w:ascii="Times New Roman" w:hAnsi="Times New Roman" w:eastAsia="宋体"/>
                <w:szCs w:val="21"/>
              </w:rPr>
            </w:pPr>
            <w:r>
              <w:rPr>
                <w:rFonts w:hint="eastAsia" w:ascii="Times New Roman" w:hAnsi="Times New Roman" w:eastAsia="宋体"/>
                <w:szCs w:val="21"/>
              </w:rPr>
              <w:t>氧化脱氨</w:t>
            </w:r>
          </w:p>
          <w:p>
            <w:pPr>
              <w:jc w:val="center"/>
              <w:rPr>
                <w:rFonts w:ascii="Times New Roman" w:hAnsi="Times New Roman" w:eastAsia="宋体"/>
                <w:szCs w:val="21"/>
              </w:rPr>
            </w:pPr>
            <w:r>
              <w:rPr>
                <w:rFonts w:hint="eastAsia" w:ascii="Times New Roman" w:hAnsi="Times New Roman" w:eastAsia="宋体"/>
                <w:szCs w:val="21"/>
              </w:rPr>
              <w:t>联合脱氨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continue"/>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p>
        </w:tc>
        <w:tc>
          <w:tcPr>
            <w:tcW w:w="1134" w:type="dxa"/>
            <w:vMerge w:val="continue"/>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p>
        </w:tc>
        <w:tc>
          <w:tcPr>
            <w:tcW w:w="993"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9.3</w:t>
            </w:r>
          </w:p>
        </w:tc>
        <w:tc>
          <w:tcPr>
            <w:tcW w:w="2126" w:type="dxa"/>
            <w:vAlign w:val="center"/>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尿素循环</w:t>
            </w:r>
          </w:p>
        </w:tc>
        <w:tc>
          <w:tcPr>
            <w:tcW w:w="992" w:type="dxa"/>
            <w:vAlign w:val="center"/>
          </w:tcPr>
          <w:p>
            <w:pPr>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9.</w:t>
            </w:r>
            <w:r>
              <w:rPr>
                <w:rFonts w:ascii="Times New Roman" w:hAnsi="Times New Roman" w:eastAsia="宋体" w:cs="Arial"/>
                <w:color w:val="000000" w:themeColor="text1"/>
                <w:szCs w:val="21"/>
                <w14:textFill>
                  <w14:solidFill>
                    <w14:schemeClr w14:val="tx1"/>
                  </w14:solidFill>
                </w14:textFill>
              </w:rPr>
              <w:t>3</w:t>
            </w:r>
            <w:r>
              <w:rPr>
                <w:rFonts w:hint="eastAsia" w:ascii="Times New Roman" w:hAnsi="Times New Roman" w:eastAsia="宋体" w:cs="Arial"/>
                <w:color w:val="000000" w:themeColor="text1"/>
                <w:szCs w:val="21"/>
                <w14:textFill>
                  <w14:solidFill>
                    <w14:schemeClr w14:val="tx1"/>
                  </w14:solidFill>
                </w14:textFill>
              </w:rPr>
              <w:t>.</w:t>
            </w:r>
            <w:r>
              <w:rPr>
                <w:rFonts w:ascii="Times New Roman" w:hAnsi="Times New Roman" w:eastAsia="宋体" w:cs="Arial"/>
                <w:color w:val="000000" w:themeColor="text1"/>
                <w:szCs w:val="21"/>
                <w14:textFill>
                  <w14:solidFill>
                    <w14:schemeClr w14:val="tx1"/>
                  </w14:solidFill>
                </w14:textFill>
              </w:rPr>
              <w:t>1</w:t>
            </w:r>
          </w:p>
          <w:p>
            <w:pPr>
              <w:jc w:val="center"/>
              <w:rPr>
                <w:rFonts w:ascii="Times New Roman" w:hAnsi="Times New Roman" w:eastAsia="宋体"/>
                <w:szCs w:val="21"/>
              </w:rPr>
            </w:pPr>
            <w:r>
              <w:rPr>
                <w:rFonts w:hint="eastAsia" w:ascii="Times New Roman" w:hAnsi="Times New Roman" w:eastAsia="宋体" w:cs="Arial"/>
                <w:color w:val="000000" w:themeColor="text1"/>
                <w:szCs w:val="21"/>
                <w14:textFill>
                  <w14:solidFill>
                    <w14:schemeClr w14:val="tx1"/>
                  </w14:solidFill>
                </w14:textFill>
              </w:rPr>
              <w:t>9.</w:t>
            </w:r>
            <w:r>
              <w:rPr>
                <w:rFonts w:ascii="Times New Roman" w:hAnsi="Times New Roman" w:eastAsia="宋体" w:cs="Arial"/>
                <w:color w:val="000000" w:themeColor="text1"/>
                <w:szCs w:val="21"/>
                <w14:textFill>
                  <w14:solidFill>
                    <w14:schemeClr w14:val="tx1"/>
                  </w14:solidFill>
                </w14:textFill>
              </w:rPr>
              <w:t>3</w:t>
            </w:r>
            <w:r>
              <w:rPr>
                <w:rFonts w:hint="eastAsia" w:ascii="Times New Roman" w:hAnsi="Times New Roman" w:eastAsia="宋体" w:cs="Arial"/>
                <w:color w:val="000000" w:themeColor="text1"/>
                <w:szCs w:val="21"/>
                <w14:textFill>
                  <w14:solidFill>
                    <w14:schemeClr w14:val="tx1"/>
                  </w14:solidFill>
                </w14:textFill>
              </w:rPr>
              <w:t>.</w:t>
            </w:r>
            <w:r>
              <w:rPr>
                <w:rFonts w:ascii="Times New Roman" w:hAnsi="Times New Roman" w:eastAsia="宋体" w:cs="Arial"/>
                <w:color w:val="000000" w:themeColor="text1"/>
                <w:szCs w:val="21"/>
                <w14:textFill>
                  <w14:solidFill>
                    <w14:schemeClr w14:val="tx1"/>
                  </w14:solidFill>
                </w14:textFill>
              </w:rPr>
              <w:t>2</w:t>
            </w:r>
          </w:p>
        </w:tc>
        <w:tc>
          <w:tcPr>
            <w:tcW w:w="2552" w:type="dxa"/>
            <w:vAlign w:val="center"/>
          </w:tcPr>
          <w:p>
            <w:pPr>
              <w:jc w:val="center"/>
              <w:rPr>
                <w:rFonts w:ascii="Times New Roman" w:hAnsi="Times New Roman" w:eastAsia="宋体"/>
                <w:szCs w:val="21"/>
              </w:rPr>
            </w:pPr>
            <w:r>
              <w:rPr>
                <w:rFonts w:hint="eastAsia" w:ascii="Times New Roman" w:hAnsi="Times New Roman" w:eastAsia="宋体"/>
                <w:szCs w:val="21"/>
              </w:rPr>
              <w:t>各生物的排氨方式</w:t>
            </w:r>
          </w:p>
          <w:p>
            <w:pPr>
              <w:jc w:val="center"/>
              <w:rPr>
                <w:rFonts w:ascii="Times New Roman" w:hAnsi="Times New Roman" w:eastAsia="宋体"/>
                <w:szCs w:val="21"/>
              </w:rPr>
            </w:pPr>
            <w:r>
              <w:rPr>
                <w:rFonts w:hint="eastAsia" w:ascii="Times New Roman" w:hAnsi="Times New Roman" w:eastAsia="宋体" w:cs="Arial"/>
                <w:color w:val="000000" w:themeColor="text1"/>
                <w:szCs w:val="21"/>
                <w14:textFill>
                  <w14:solidFill>
                    <w14:schemeClr w14:val="tx1"/>
                  </w14:solidFill>
                </w14:textFill>
              </w:rPr>
              <w:t>尿素循环过程及意义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restart"/>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十</w:t>
            </w:r>
          </w:p>
        </w:tc>
        <w:tc>
          <w:tcPr>
            <w:tcW w:w="1134" w:type="dxa"/>
            <w:vMerge w:val="restart"/>
          </w:tcPr>
          <w:p>
            <w:pPr>
              <w:spacing w:line="440" w:lineRule="exact"/>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大肠杆菌</w:t>
            </w:r>
            <w:r>
              <w:rPr>
                <w:rFonts w:ascii="Times New Roman" w:hAnsi="Times New Roman" w:eastAsia="宋体" w:cs="Arial"/>
                <w:color w:val="000000" w:themeColor="text1"/>
                <w:szCs w:val="21"/>
                <w14:textFill>
                  <w14:solidFill>
                    <w14:schemeClr w14:val="tx1"/>
                  </w14:solidFill>
                </w14:textFill>
              </w:rPr>
              <w:t>中</w:t>
            </w:r>
            <w:r>
              <w:rPr>
                <w:rFonts w:hint="eastAsia" w:ascii="Times New Roman" w:hAnsi="Times New Roman" w:eastAsia="宋体" w:cs="Arial"/>
                <w:color w:val="000000" w:themeColor="text1"/>
                <w:szCs w:val="21"/>
                <w14:textFill>
                  <w14:solidFill>
                    <w14:schemeClr w14:val="tx1"/>
                  </w14:solidFill>
                </w14:textFill>
              </w:rPr>
              <w:t>重组绿色荧光</w:t>
            </w:r>
            <w:r>
              <w:rPr>
                <w:rFonts w:ascii="Times New Roman" w:hAnsi="Times New Roman" w:eastAsia="宋体" w:cs="Arial"/>
                <w:color w:val="000000" w:themeColor="text1"/>
                <w:szCs w:val="21"/>
                <w14:textFill>
                  <w14:solidFill>
                    <w14:schemeClr w14:val="tx1"/>
                  </w14:solidFill>
                </w14:textFill>
              </w:rPr>
              <w:t>蛋白的诱导表达</w:t>
            </w:r>
            <w:r>
              <w:rPr>
                <w:rFonts w:hint="eastAsia" w:ascii="Times New Roman" w:hAnsi="Times New Roman" w:eastAsia="宋体" w:cs="Arial"/>
                <w:color w:val="000000" w:themeColor="text1"/>
                <w:szCs w:val="21"/>
                <w14:textFill>
                  <w14:solidFill>
                    <w14:schemeClr w14:val="tx1"/>
                  </w14:solidFill>
                </w14:textFill>
              </w:rPr>
              <w:t>、提取、纯化及含量测定</w:t>
            </w:r>
          </w:p>
        </w:tc>
        <w:tc>
          <w:tcPr>
            <w:tcW w:w="993" w:type="dxa"/>
            <w:vAlign w:val="center"/>
          </w:tcPr>
          <w:p>
            <w:pPr>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10.1</w:t>
            </w:r>
          </w:p>
        </w:tc>
        <w:tc>
          <w:tcPr>
            <w:tcW w:w="2126" w:type="dxa"/>
          </w:tcPr>
          <w:p>
            <w:pPr>
              <w:adjustRightInd w:val="0"/>
              <w:snapToGrid w:val="0"/>
              <w:spacing w:line="440" w:lineRule="exact"/>
              <w:jc w:val="center"/>
              <w:rPr>
                <w:rFonts w:ascii="Times New Roman" w:hAnsi="Times New Roman" w:eastAsia="宋体"/>
                <w:szCs w:val="21"/>
              </w:rPr>
            </w:pPr>
            <w:r>
              <w:rPr>
                <w:rFonts w:hint="eastAsia" w:ascii="Times New Roman" w:hAnsi="Times New Roman" w:eastAsia="宋体"/>
                <w:szCs w:val="21"/>
              </w:rPr>
              <w:t>大肠杆菌</w:t>
            </w:r>
            <w:r>
              <w:rPr>
                <w:rFonts w:ascii="Times New Roman" w:hAnsi="Times New Roman" w:eastAsia="宋体"/>
                <w:szCs w:val="21"/>
              </w:rPr>
              <w:t>中</w:t>
            </w:r>
            <w:r>
              <w:rPr>
                <w:rFonts w:hint="eastAsia" w:ascii="Times New Roman" w:hAnsi="Times New Roman" w:eastAsia="宋体"/>
                <w:szCs w:val="21"/>
              </w:rPr>
              <w:t>重组绿色荧光</w:t>
            </w:r>
            <w:r>
              <w:rPr>
                <w:rFonts w:ascii="Times New Roman" w:hAnsi="Times New Roman" w:eastAsia="宋体"/>
                <w:szCs w:val="21"/>
              </w:rPr>
              <w:t>蛋白的诱导表达</w:t>
            </w:r>
          </w:p>
        </w:tc>
        <w:tc>
          <w:tcPr>
            <w:tcW w:w="992" w:type="dxa"/>
            <w:vAlign w:val="center"/>
          </w:tcPr>
          <w:p>
            <w:pPr>
              <w:jc w:val="center"/>
              <w:rPr>
                <w:rFonts w:ascii="Times New Roman" w:hAnsi="Times New Roman" w:eastAsia="宋体"/>
                <w:szCs w:val="21"/>
              </w:rPr>
            </w:pPr>
            <w:r>
              <w:rPr>
                <w:rFonts w:hint="eastAsia" w:ascii="Times New Roman" w:hAnsi="Times New Roman" w:eastAsia="宋体" w:cs="Arial"/>
                <w:color w:val="000000" w:themeColor="text1"/>
                <w:szCs w:val="21"/>
                <w14:textFill>
                  <w14:solidFill>
                    <w14:schemeClr w14:val="tx1"/>
                  </w14:solidFill>
                </w14:textFill>
              </w:rPr>
              <w:t>10.1.1</w:t>
            </w:r>
          </w:p>
        </w:tc>
        <w:tc>
          <w:tcPr>
            <w:tcW w:w="2552" w:type="dxa"/>
            <w:vAlign w:val="center"/>
          </w:tcPr>
          <w:p>
            <w:pPr>
              <w:jc w:val="center"/>
              <w:rPr>
                <w:rFonts w:ascii="Times New Roman" w:hAnsi="Times New Roman" w:eastAsia="宋体"/>
                <w:szCs w:val="21"/>
              </w:rPr>
            </w:pPr>
            <w:r>
              <w:rPr>
                <w:rFonts w:hint="eastAsia" w:ascii="Times New Roman" w:hAnsi="Times New Roman" w:eastAsia="宋体"/>
                <w:szCs w:val="21"/>
              </w:rPr>
              <w:t>实验原理、方法、具体操作、结果的科学表达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continue"/>
          </w:tcPr>
          <w:p>
            <w:pPr>
              <w:spacing w:line="440" w:lineRule="exact"/>
              <w:jc w:val="center"/>
              <w:rPr>
                <w:rFonts w:ascii="Times New Roman" w:hAnsi="Times New Roman" w:eastAsia="宋体" w:cs="Arial"/>
                <w:color w:val="000000" w:themeColor="text1"/>
                <w:szCs w:val="21"/>
                <w14:textFill>
                  <w14:solidFill>
                    <w14:schemeClr w14:val="tx1"/>
                  </w14:solidFill>
                </w14:textFill>
              </w:rPr>
            </w:pPr>
          </w:p>
        </w:tc>
        <w:tc>
          <w:tcPr>
            <w:tcW w:w="1134" w:type="dxa"/>
            <w:vMerge w:val="continue"/>
          </w:tcPr>
          <w:p>
            <w:pPr>
              <w:spacing w:line="440" w:lineRule="exact"/>
              <w:jc w:val="center"/>
              <w:rPr>
                <w:rFonts w:ascii="Times New Roman" w:hAnsi="Times New Roman" w:eastAsia="宋体" w:cs="Arial"/>
                <w:color w:val="000000" w:themeColor="text1"/>
                <w:szCs w:val="21"/>
                <w14:textFill>
                  <w14:solidFill>
                    <w14:schemeClr w14:val="tx1"/>
                  </w14:solidFill>
                </w14:textFill>
              </w:rPr>
            </w:pPr>
          </w:p>
        </w:tc>
        <w:tc>
          <w:tcPr>
            <w:tcW w:w="993" w:type="dxa"/>
            <w:vAlign w:val="center"/>
          </w:tcPr>
          <w:p>
            <w:pPr>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10.2</w:t>
            </w:r>
          </w:p>
        </w:tc>
        <w:tc>
          <w:tcPr>
            <w:tcW w:w="2126" w:type="dxa"/>
          </w:tcPr>
          <w:p>
            <w:pPr>
              <w:adjustRightInd w:val="0"/>
              <w:snapToGrid w:val="0"/>
              <w:spacing w:line="440" w:lineRule="exact"/>
              <w:jc w:val="center"/>
              <w:rPr>
                <w:rFonts w:ascii="Times New Roman" w:hAnsi="Times New Roman" w:eastAsia="宋体"/>
                <w:szCs w:val="21"/>
              </w:rPr>
            </w:pPr>
            <w:r>
              <w:rPr>
                <w:rFonts w:hint="eastAsia" w:ascii="Times New Roman" w:hAnsi="Times New Roman" w:eastAsia="宋体"/>
                <w:szCs w:val="21"/>
              </w:rPr>
              <w:t>大肠杆菌</w:t>
            </w:r>
            <w:r>
              <w:rPr>
                <w:rFonts w:ascii="Times New Roman" w:hAnsi="Times New Roman" w:eastAsia="宋体"/>
                <w:szCs w:val="21"/>
              </w:rPr>
              <w:t>中</w:t>
            </w:r>
            <w:r>
              <w:rPr>
                <w:rFonts w:hint="eastAsia" w:ascii="Times New Roman" w:hAnsi="Times New Roman" w:eastAsia="宋体"/>
                <w:szCs w:val="21"/>
              </w:rPr>
              <w:t>重组绿色荧光蛋白的提取</w:t>
            </w:r>
          </w:p>
        </w:tc>
        <w:tc>
          <w:tcPr>
            <w:tcW w:w="992" w:type="dxa"/>
            <w:vAlign w:val="center"/>
          </w:tcPr>
          <w:p>
            <w:pPr>
              <w:jc w:val="center"/>
              <w:rPr>
                <w:rFonts w:ascii="Times New Roman" w:hAnsi="Times New Roman" w:eastAsia="宋体"/>
                <w:szCs w:val="21"/>
              </w:rPr>
            </w:pPr>
            <w:r>
              <w:rPr>
                <w:rFonts w:hint="eastAsia" w:ascii="Times New Roman" w:hAnsi="Times New Roman" w:eastAsia="宋体" w:cs="Arial"/>
                <w:color w:val="000000" w:themeColor="text1"/>
                <w:szCs w:val="21"/>
                <w14:textFill>
                  <w14:solidFill>
                    <w14:schemeClr w14:val="tx1"/>
                  </w14:solidFill>
                </w14:textFill>
              </w:rPr>
              <w:t>10.</w:t>
            </w:r>
            <w:r>
              <w:rPr>
                <w:rFonts w:ascii="Times New Roman" w:hAnsi="Times New Roman" w:eastAsia="宋体" w:cs="Arial"/>
                <w:color w:val="000000" w:themeColor="text1"/>
                <w:szCs w:val="21"/>
                <w14:textFill>
                  <w14:solidFill>
                    <w14:schemeClr w14:val="tx1"/>
                  </w14:solidFill>
                </w14:textFill>
              </w:rPr>
              <w:t>2</w:t>
            </w:r>
            <w:r>
              <w:rPr>
                <w:rFonts w:hint="eastAsia" w:ascii="Times New Roman" w:hAnsi="Times New Roman" w:eastAsia="宋体" w:cs="Arial"/>
                <w:color w:val="000000" w:themeColor="text1"/>
                <w:szCs w:val="21"/>
                <w14:textFill>
                  <w14:solidFill>
                    <w14:schemeClr w14:val="tx1"/>
                  </w14:solidFill>
                </w14:textFill>
              </w:rPr>
              <w:t>.1</w:t>
            </w:r>
          </w:p>
        </w:tc>
        <w:tc>
          <w:tcPr>
            <w:tcW w:w="2552" w:type="dxa"/>
            <w:vAlign w:val="center"/>
          </w:tcPr>
          <w:p>
            <w:pPr>
              <w:jc w:val="center"/>
              <w:rPr>
                <w:rFonts w:ascii="Times New Roman" w:hAnsi="Times New Roman" w:eastAsia="宋体"/>
                <w:szCs w:val="21"/>
              </w:rPr>
            </w:pPr>
            <w:r>
              <w:rPr>
                <w:rFonts w:hint="eastAsia" w:ascii="Times New Roman" w:hAnsi="Times New Roman" w:eastAsia="宋体"/>
                <w:szCs w:val="21"/>
              </w:rPr>
              <w:t>实验原理、方法、具体操作、结果的科学表达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continue"/>
          </w:tcPr>
          <w:p>
            <w:pPr>
              <w:spacing w:line="440" w:lineRule="exact"/>
              <w:jc w:val="center"/>
              <w:rPr>
                <w:rFonts w:ascii="Times New Roman" w:hAnsi="Times New Roman" w:eastAsia="宋体" w:cs="Arial"/>
                <w:color w:val="000000" w:themeColor="text1"/>
                <w:szCs w:val="21"/>
                <w14:textFill>
                  <w14:solidFill>
                    <w14:schemeClr w14:val="tx1"/>
                  </w14:solidFill>
                </w14:textFill>
              </w:rPr>
            </w:pPr>
          </w:p>
        </w:tc>
        <w:tc>
          <w:tcPr>
            <w:tcW w:w="1134" w:type="dxa"/>
            <w:vMerge w:val="continue"/>
          </w:tcPr>
          <w:p>
            <w:pPr>
              <w:spacing w:line="440" w:lineRule="exact"/>
              <w:jc w:val="center"/>
              <w:rPr>
                <w:rFonts w:ascii="Times New Roman" w:hAnsi="Times New Roman" w:eastAsia="宋体" w:cs="Arial"/>
                <w:color w:val="000000" w:themeColor="text1"/>
                <w:szCs w:val="21"/>
                <w14:textFill>
                  <w14:solidFill>
                    <w14:schemeClr w14:val="tx1"/>
                  </w14:solidFill>
                </w14:textFill>
              </w:rPr>
            </w:pPr>
          </w:p>
        </w:tc>
        <w:tc>
          <w:tcPr>
            <w:tcW w:w="993" w:type="dxa"/>
            <w:vAlign w:val="center"/>
          </w:tcPr>
          <w:p>
            <w:pPr>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10.3</w:t>
            </w:r>
          </w:p>
        </w:tc>
        <w:tc>
          <w:tcPr>
            <w:tcW w:w="2126" w:type="dxa"/>
          </w:tcPr>
          <w:p>
            <w:pPr>
              <w:adjustRightInd w:val="0"/>
              <w:snapToGrid w:val="0"/>
              <w:spacing w:line="440" w:lineRule="exact"/>
              <w:jc w:val="center"/>
              <w:rPr>
                <w:rFonts w:ascii="Times New Roman" w:hAnsi="Times New Roman" w:eastAsia="宋体"/>
                <w:szCs w:val="21"/>
              </w:rPr>
            </w:pPr>
            <w:r>
              <w:rPr>
                <w:rFonts w:hint="eastAsia" w:ascii="Times New Roman" w:hAnsi="Times New Roman" w:eastAsia="宋体"/>
                <w:szCs w:val="21"/>
              </w:rPr>
              <w:t>重组绿色荧光蛋白的纯化</w:t>
            </w:r>
          </w:p>
        </w:tc>
        <w:tc>
          <w:tcPr>
            <w:tcW w:w="992" w:type="dxa"/>
            <w:vAlign w:val="center"/>
          </w:tcPr>
          <w:p>
            <w:pPr>
              <w:jc w:val="center"/>
              <w:rPr>
                <w:rFonts w:ascii="Times New Roman" w:hAnsi="Times New Roman" w:eastAsia="宋体"/>
                <w:szCs w:val="21"/>
              </w:rPr>
            </w:pPr>
            <w:r>
              <w:rPr>
                <w:rFonts w:hint="eastAsia" w:ascii="Times New Roman" w:hAnsi="Times New Roman" w:eastAsia="宋体" w:cs="Arial"/>
                <w:color w:val="000000" w:themeColor="text1"/>
                <w:szCs w:val="21"/>
                <w14:textFill>
                  <w14:solidFill>
                    <w14:schemeClr w14:val="tx1"/>
                  </w14:solidFill>
                </w14:textFill>
              </w:rPr>
              <w:t>10.</w:t>
            </w:r>
            <w:r>
              <w:rPr>
                <w:rFonts w:ascii="Times New Roman" w:hAnsi="Times New Roman" w:eastAsia="宋体" w:cs="Arial"/>
                <w:color w:val="000000" w:themeColor="text1"/>
                <w:szCs w:val="21"/>
                <w14:textFill>
                  <w14:solidFill>
                    <w14:schemeClr w14:val="tx1"/>
                  </w14:solidFill>
                </w14:textFill>
              </w:rPr>
              <w:t>3</w:t>
            </w:r>
            <w:r>
              <w:rPr>
                <w:rFonts w:hint="eastAsia" w:ascii="Times New Roman" w:hAnsi="Times New Roman" w:eastAsia="宋体" w:cs="Arial"/>
                <w:color w:val="000000" w:themeColor="text1"/>
                <w:szCs w:val="21"/>
                <w14:textFill>
                  <w14:solidFill>
                    <w14:schemeClr w14:val="tx1"/>
                  </w14:solidFill>
                </w14:textFill>
              </w:rPr>
              <w:t>.1</w:t>
            </w:r>
          </w:p>
        </w:tc>
        <w:tc>
          <w:tcPr>
            <w:tcW w:w="2552" w:type="dxa"/>
            <w:vAlign w:val="center"/>
          </w:tcPr>
          <w:p>
            <w:pPr>
              <w:jc w:val="center"/>
              <w:rPr>
                <w:rFonts w:ascii="Times New Roman" w:hAnsi="Times New Roman" w:eastAsia="宋体"/>
                <w:szCs w:val="21"/>
              </w:rPr>
            </w:pPr>
            <w:r>
              <w:rPr>
                <w:rFonts w:hint="eastAsia" w:ascii="Times New Roman" w:hAnsi="Times New Roman" w:eastAsia="宋体"/>
                <w:szCs w:val="21"/>
              </w:rPr>
              <w:t>实验原理、方法、具体操作、结果的科学表达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continue"/>
          </w:tcPr>
          <w:p>
            <w:pPr>
              <w:spacing w:line="440" w:lineRule="exact"/>
              <w:jc w:val="center"/>
              <w:rPr>
                <w:rFonts w:ascii="Times New Roman" w:hAnsi="Times New Roman" w:eastAsia="宋体" w:cs="Arial"/>
                <w:color w:val="000000" w:themeColor="text1"/>
                <w:szCs w:val="21"/>
                <w14:textFill>
                  <w14:solidFill>
                    <w14:schemeClr w14:val="tx1"/>
                  </w14:solidFill>
                </w14:textFill>
              </w:rPr>
            </w:pPr>
          </w:p>
        </w:tc>
        <w:tc>
          <w:tcPr>
            <w:tcW w:w="1134" w:type="dxa"/>
            <w:vMerge w:val="continue"/>
          </w:tcPr>
          <w:p>
            <w:pPr>
              <w:spacing w:line="440" w:lineRule="exact"/>
              <w:jc w:val="center"/>
              <w:rPr>
                <w:rFonts w:ascii="Times New Roman" w:hAnsi="Times New Roman" w:eastAsia="宋体" w:cs="Arial"/>
                <w:color w:val="000000" w:themeColor="text1"/>
                <w:szCs w:val="21"/>
                <w14:textFill>
                  <w14:solidFill>
                    <w14:schemeClr w14:val="tx1"/>
                  </w14:solidFill>
                </w14:textFill>
              </w:rPr>
            </w:pPr>
          </w:p>
        </w:tc>
        <w:tc>
          <w:tcPr>
            <w:tcW w:w="993" w:type="dxa"/>
            <w:vAlign w:val="center"/>
          </w:tcPr>
          <w:p>
            <w:pPr>
              <w:jc w:val="center"/>
              <w:rPr>
                <w:rFonts w:ascii="Times New Roman" w:hAnsi="Times New Roman" w:eastAsia="宋体" w:cs="Arial"/>
                <w:color w:val="000000" w:themeColor="text1"/>
                <w:szCs w:val="21"/>
                <w14:textFill>
                  <w14:solidFill>
                    <w14:schemeClr w14:val="tx1"/>
                  </w14:solidFill>
                </w14:textFill>
              </w:rPr>
            </w:pPr>
            <w:r>
              <w:rPr>
                <w:rFonts w:hint="eastAsia" w:ascii="Times New Roman" w:hAnsi="Times New Roman" w:eastAsia="宋体" w:cs="Arial"/>
                <w:color w:val="000000" w:themeColor="text1"/>
                <w:szCs w:val="21"/>
                <w14:textFill>
                  <w14:solidFill>
                    <w14:schemeClr w14:val="tx1"/>
                  </w14:solidFill>
                </w14:textFill>
              </w:rPr>
              <w:t>10.4</w:t>
            </w:r>
          </w:p>
        </w:tc>
        <w:tc>
          <w:tcPr>
            <w:tcW w:w="2126" w:type="dxa"/>
          </w:tcPr>
          <w:p>
            <w:pPr>
              <w:adjustRightInd w:val="0"/>
              <w:snapToGrid w:val="0"/>
              <w:spacing w:line="440" w:lineRule="exact"/>
              <w:jc w:val="center"/>
              <w:rPr>
                <w:rFonts w:ascii="Times New Roman" w:hAnsi="Times New Roman" w:eastAsia="宋体"/>
                <w:szCs w:val="21"/>
              </w:rPr>
            </w:pPr>
            <w:r>
              <w:rPr>
                <w:rFonts w:hint="eastAsia" w:ascii="Times New Roman" w:hAnsi="Times New Roman" w:eastAsia="宋体"/>
                <w:szCs w:val="21"/>
              </w:rPr>
              <w:t>重组绿色荧光蛋白定量测定—</w:t>
            </w:r>
            <w:r>
              <w:rPr>
                <w:rFonts w:ascii="Times New Roman" w:hAnsi="Times New Roman" w:eastAsia="宋体"/>
                <w:szCs w:val="21"/>
              </w:rPr>
              <w:t>Folin酚（Lowry）法</w:t>
            </w:r>
          </w:p>
        </w:tc>
        <w:tc>
          <w:tcPr>
            <w:tcW w:w="992" w:type="dxa"/>
            <w:vAlign w:val="center"/>
          </w:tcPr>
          <w:p>
            <w:pPr>
              <w:jc w:val="center"/>
              <w:rPr>
                <w:rFonts w:ascii="Times New Roman" w:hAnsi="Times New Roman" w:eastAsia="宋体"/>
                <w:szCs w:val="21"/>
              </w:rPr>
            </w:pPr>
            <w:r>
              <w:rPr>
                <w:rFonts w:hint="eastAsia" w:ascii="Times New Roman" w:hAnsi="Times New Roman" w:eastAsia="宋体" w:cs="Arial"/>
                <w:color w:val="000000" w:themeColor="text1"/>
                <w:szCs w:val="21"/>
                <w14:textFill>
                  <w14:solidFill>
                    <w14:schemeClr w14:val="tx1"/>
                  </w14:solidFill>
                </w14:textFill>
              </w:rPr>
              <w:t>10.</w:t>
            </w:r>
            <w:r>
              <w:rPr>
                <w:rFonts w:ascii="Times New Roman" w:hAnsi="Times New Roman" w:eastAsia="宋体" w:cs="Arial"/>
                <w:color w:val="000000" w:themeColor="text1"/>
                <w:szCs w:val="21"/>
                <w14:textFill>
                  <w14:solidFill>
                    <w14:schemeClr w14:val="tx1"/>
                  </w14:solidFill>
                </w14:textFill>
              </w:rPr>
              <w:t>4</w:t>
            </w:r>
            <w:r>
              <w:rPr>
                <w:rFonts w:hint="eastAsia" w:ascii="Times New Roman" w:hAnsi="Times New Roman" w:eastAsia="宋体" w:cs="Arial"/>
                <w:color w:val="000000" w:themeColor="text1"/>
                <w:szCs w:val="21"/>
                <w14:textFill>
                  <w14:solidFill>
                    <w14:schemeClr w14:val="tx1"/>
                  </w14:solidFill>
                </w14:textFill>
              </w:rPr>
              <w:t>.1</w:t>
            </w:r>
          </w:p>
        </w:tc>
        <w:tc>
          <w:tcPr>
            <w:tcW w:w="2552" w:type="dxa"/>
            <w:vAlign w:val="center"/>
          </w:tcPr>
          <w:p>
            <w:pPr>
              <w:jc w:val="center"/>
              <w:rPr>
                <w:rFonts w:ascii="Times New Roman" w:hAnsi="Times New Roman" w:eastAsia="宋体"/>
                <w:szCs w:val="21"/>
              </w:rPr>
            </w:pPr>
            <w:r>
              <w:rPr>
                <w:rFonts w:hint="eastAsia" w:ascii="Times New Roman" w:hAnsi="Times New Roman" w:eastAsia="宋体"/>
                <w:szCs w:val="21"/>
              </w:rPr>
              <w:t>实验原理、方法、具体操作、结果的科学表达</w:t>
            </w:r>
          </w:p>
        </w:tc>
      </w:tr>
    </w:tbl>
    <w:p>
      <w:pPr>
        <w:spacing w:line="400" w:lineRule="exact"/>
        <w:ind w:firstLine="420" w:firstLineChars="200"/>
        <w:rPr>
          <w:rFonts w:ascii="Times New Roman" w:hAnsi="Times New Roman" w:eastAsia="宋体" w:cs="Times New Roman"/>
        </w:rPr>
      </w:pPr>
      <w:r>
        <w:rPr>
          <w:rFonts w:hint="eastAsia" w:ascii="Times New Roman" w:hAnsi="Times New Roman" w:eastAsia="宋体" w:cs="Times New Roman"/>
        </w:rPr>
        <w:t>以第七单元为例，线上线下教学设计过程如表</w:t>
      </w:r>
      <w:r>
        <w:rPr>
          <w:rFonts w:ascii="Times New Roman" w:hAnsi="Times New Roman" w:eastAsia="宋体" w:cs="Times New Roman"/>
        </w:rPr>
        <w:t>2</w:t>
      </w:r>
      <w:r>
        <w:rPr>
          <w:rFonts w:hint="eastAsia" w:ascii="Times New Roman" w:hAnsi="Times New Roman" w:eastAsia="宋体" w:cs="Times New Roman"/>
        </w:rPr>
        <w:t>所示。</w:t>
      </w:r>
    </w:p>
    <w:p>
      <w:pPr>
        <w:spacing w:line="400" w:lineRule="exact"/>
        <w:ind w:firstLine="420" w:firstLineChars="200"/>
        <w:jc w:val="center"/>
        <w:rPr>
          <w:rFonts w:ascii="Times New Roman" w:hAnsi="Times New Roman" w:eastAsia="宋体" w:cs="Times New Roman"/>
        </w:rPr>
      </w:pPr>
      <w:r>
        <w:rPr>
          <w:rFonts w:hint="eastAsia" w:ascii="Times New Roman" w:hAnsi="Times New Roman" w:eastAsia="宋体" w:cs="Times New Roman"/>
        </w:rPr>
        <w:t>表</w:t>
      </w:r>
      <w:r>
        <w:rPr>
          <w:rFonts w:ascii="Times New Roman" w:hAnsi="Times New Roman" w:eastAsia="宋体" w:cs="Times New Roman"/>
        </w:rPr>
        <w:t xml:space="preserve">2 </w:t>
      </w:r>
      <w:r>
        <w:rPr>
          <w:rFonts w:hint="eastAsia" w:ascii="Times New Roman" w:hAnsi="Times New Roman" w:eastAsia="宋体" w:cs="Times New Roman"/>
        </w:rPr>
        <w:t>单元设计</w:t>
      </w:r>
    </w:p>
    <w:tbl>
      <w:tblPr>
        <w:tblStyle w:val="8"/>
        <w:tblW w:w="495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1164"/>
        <w:gridCol w:w="2329"/>
        <w:gridCol w:w="3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73" w:type="pct"/>
            <w:tcBorders>
              <w:top w:val="single" w:color="auto" w:sz="4" w:space="0"/>
              <w:left w:val="single" w:color="auto" w:sz="4" w:space="0"/>
              <w:right w:val="single" w:color="auto" w:sz="4" w:space="0"/>
            </w:tcBorders>
          </w:tcPr>
          <w:p>
            <w:pPr>
              <w:spacing w:line="400" w:lineRule="exact"/>
              <w:jc w:val="center"/>
              <w:rPr>
                <w:rFonts w:ascii="Times New Roman" w:hAnsi="Times New Roman" w:eastAsia="宋体" w:cs="Times New Roman"/>
                <w:sz w:val="18"/>
                <w:szCs w:val="18"/>
              </w:rPr>
            </w:pPr>
            <w:r>
              <w:rPr>
                <w:rFonts w:hint="eastAsia" w:ascii="Times New Roman" w:hAnsi="Times New Roman" w:eastAsia="宋体" w:cs="Times New Roman"/>
              </w:rPr>
              <w:t>教学目标</w:t>
            </w:r>
          </w:p>
        </w:tc>
        <w:tc>
          <w:tcPr>
            <w:tcW w:w="689" w:type="pct"/>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宋体" w:cs="Times New Roman"/>
                <w:sz w:val="18"/>
                <w:szCs w:val="18"/>
              </w:rPr>
            </w:pPr>
            <w:r>
              <w:rPr>
                <w:rFonts w:hint="eastAsia" w:ascii="Times New Roman" w:hAnsi="Times New Roman" w:eastAsia="宋体" w:cs="Times New Roman"/>
              </w:rPr>
              <w:t>学习内容</w:t>
            </w:r>
          </w:p>
        </w:tc>
        <w:tc>
          <w:tcPr>
            <w:tcW w:w="1378" w:type="pct"/>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宋体" w:cs="Times New Roman"/>
                <w:sz w:val="18"/>
                <w:szCs w:val="18"/>
              </w:rPr>
            </w:pPr>
            <w:r>
              <w:rPr>
                <w:rFonts w:hint="eastAsia" w:ascii="Times New Roman" w:hAnsi="Times New Roman" w:eastAsia="宋体" w:cs="Times New Roman"/>
              </w:rPr>
              <w:t>学习资源</w:t>
            </w:r>
          </w:p>
        </w:tc>
        <w:tc>
          <w:tcPr>
            <w:tcW w:w="216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b/>
                <w:bCs/>
                <w:sz w:val="18"/>
                <w:szCs w:val="18"/>
              </w:rPr>
            </w:pPr>
            <w:r>
              <w:rPr>
                <w:rFonts w:hint="eastAsia" w:ascii="Times New Roman" w:hAnsi="Times New Roman" w:eastAsia="宋体" w:cs="Times New Roman"/>
              </w:rPr>
              <w:t>学习活动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73" w:type="pct"/>
            <w:vMerge w:val="restart"/>
            <w:tcBorders>
              <w:top w:val="single" w:color="auto" w:sz="4" w:space="0"/>
              <w:left w:val="single" w:color="auto" w:sz="4" w:space="0"/>
              <w:right w:val="single" w:color="auto" w:sz="4" w:space="0"/>
            </w:tcBorders>
          </w:tcPr>
          <w:p>
            <w:pPr>
              <w:spacing w:line="400" w:lineRule="exact"/>
              <w:rPr>
                <w:rFonts w:ascii="Times New Roman" w:hAnsi="Times New Roman" w:eastAsia="宋体" w:cs="Times New Roman"/>
                <w:sz w:val="18"/>
                <w:szCs w:val="18"/>
              </w:rPr>
            </w:pPr>
            <w:r>
              <w:rPr>
                <w:rFonts w:ascii="Times New Roman" w:hAnsi="Times New Roman" w:eastAsia="宋体" w:cs="Times New Roman"/>
                <w:sz w:val="18"/>
                <w:szCs w:val="18"/>
              </w:rPr>
              <w:t>教学目标1：</w:t>
            </w:r>
          </w:p>
          <w:p>
            <w:pPr>
              <w:spacing w:line="400" w:lineRule="exact"/>
              <w:rPr>
                <w:rFonts w:ascii="Times New Roman" w:hAnsi="Times New Roman"/>
                <w:b/>
                <w:bCs/>
                <w:sz w:val="18"/>
                <w:szCs w:val="18"/>
              </w:rPr>
            </w:pPr>
            <w:r>
              <w:rPr>
                <w:rFonts w:hint="eastAsia" w:ascii="Times New Roman" w:hAnsi="Times New Roman" w:eastAsia="宋体" w:cs="Times New Roman"/>
                <w:sz w:val="18"/>
                <w:szCs w:val="18"/>
              </w:rPr>
              <w:t>掌握糖酵解的定义及其在糖代谢中所起的基础性地位，明确糖酵解的反应历程，包括物质的变化及能量的生成，学会能量变化的计算，归纳总结糖酵解过程的调控点，以及其调控机理；理解糖酵解活动对于生命的意义，了解当前关于糖酵解方面的研究进展。</w:t>
            </w:r>
          </w:p>
        </w:tc>
        <w:tc>
          <w:tcPr>
            <w:tcW w:w="689"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知识</w:t>
            </w:r>
            <w:r>
              <w:rPr>
                <w:rFonts w:hint="eastAsia" w:ascii="Times New Roman" w:hAnsi="Times New Roman" w:eastAsia="宋体" w:cs="Times New Roman"/>
                <w:sz w:val="18"/>
                <w:szCs w:val="18"/>
              </w:rPr>
              <w:t>点</w:t>
            </w:r>
            <w:r>
              <w:rPr>
                <w:rFonts w:ascii="Times New Roman" w:hAnsi="Times New Roman" w:eastAsia="宋体" w:cs="Times New Roman"/>
                <w:sz w:val="18"/>
                <w:szCs w:val="18"/>
              </w:rPr>
              <w:t>1：</w:t>
            </w:r>
            <w:r>
              <w:rPr>
                <w:rFonts w:hint="eastAsia" w:ascii="Times New Roman" w:hAnsi="Times New Roman" w:eastAsia="宋体" w:cs="Times New Roman"/>
                <w:sz w:val="18"/>
                <w:szCs w:val="18"/>
              </w:rPr>
              <w:t>糖酵解的定义及意义</w:t>
            </w:r>
          </w:p>
        </w:tc>
        <w:tc>
          <w:tcPr>
            <w:tcW w:w="1378" w:type="pct"/>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宋体" w:cs="Times New Roman"/>
                <w:sz w:val="18"/>
                <w:szCs w:val="18"/>
              </w:rPr>
            </w:pPr>
            <w:r>
              <w:rPr>
                <w:rFonts w:ascii="Times New Roman" w:hAnsi="Times New Roman" w:eastAsia="宋体" w:cs="Times New Roman"/>
                <w:sz w:val="18"/>
                <w:szCs w:val="18"/>
              </w:rPr>
              <w:t>【</w:t>
            </w:r>
            <w:r>
              <w:rPr>
                <w:rFonts w:hint="eastAsia" w:ascii="Times New Roman" w:hAnsi="Times New Roman" w:eastAsia="宋体" w:cs="Times New Roman"/>
                <w:sz w:val="18"/>
                <w:szCs w:val="18"/>
              </w:rPr>
              <w:t>视频</w:t>
            </w:r>
            <w:r>
              <w:rPr>
                <w:rFonts w:ascii="Times New Roman" w:hAnsi="Times New Roman" w:eastAsia="宋体" w:cs="Times New Roman"/>
                <w:sz w:val="18"/>
                <w:szCs w:val="18"/>
              </w:rPr>
              <w:t>】</w:t>
            </w:r>
            <w:r>
              <w:rPr>
                <w:rFonts w:hint="eastAsia" w:ascii="Times New Roman" w:hAnsi="Times New Roman" w:eastAsia="宋体" w:cs="Times New Roman"/>
                <w:sz w:val="18"/>
                <w:szCs w:val="18"/>
              </w:rPr>
              <w:t>糖酵解的定义及其在糖代谢中所处的基础性地位</w:t>
            </w:r>
          </w:p>
          <w:p>
            <w:pPr>
              <w:spacing w:line="400" w:lineRule="exact"/>
              <w:rPr>
                <w:rFonts w:ascii="Times New Roman" w:hAnsi="Times New Roman" w:eastAsia="宋体" w:cs="Times New Roman"/>
                <w:sz w:val="18"/>
                <w:szCs w:val="18"/>
              </w:rPr>
            </w:pPr>
            <w:r>
              <w:rPr>
                <w:rFonts w:ascii="Times New Roman" w:hAnsi="Times New Roman" w:eastAsia="宋体" w:cs="Times New Roman"/>
                <w:sz w:val="18"/>
                <w:szCs w:val="18"/>
              </w:rPr>
              <w:t>【</w:t>
            </w:r>
            <w:r>
              <w:rPr>
                <w:rFonts w:hint="eastAsia" w:ascii="Times New Roman" w:hAnsi="Times New Roman" w:eastAsia="宋体" w:cs="Times New Roman"/>
                <w:sz w:val="18"/>
                <w:szCs w:val="18"/>
              </w:rPr>
              <w:t>PPT</w:t>
            </w:r>
            <w:r>
              <w:rPr>
                <w:rFonts w:ascii="Times New Roman" w:hAnsi="Times New Roman" w:eastAsia="宋体" w:cs="Times New Roman"/>
                <w:sz w:val="18"/>
                <w:szCs w:val="18"/>
              </w:rPr>
              <w:t>】</w:t>
            </w:r>
            <w:r>
              <w:rPr>
                <w:rFonts w:hint="eastAsia" w:ascii="Times New Roman" w:hAnsi="Times New Roman" w:eastAsia="宋体" w:cs="Times New Roman"/>
                <w:sz w:val="18"/>
                <w:szCs w:val="18"/>
              </w:rPr>
              <w:t>糖酵解的定义、反应场所等，并通过糖的整体代谢途径明确糖酵解的重要意义</w:t>
            </w:r>
          </w:p>
          <w:p>
            <w:pPr>
              <w:spacing w:line="400" w:lineRule="exact"/>
              <w:rPr>
                <w:rFonts w:ascii="Times New Roman" w:hAnsi="Times New Roman"/>
                <w:b/>
                <w:bCs/>
                <w:sz w:val="18"/>
                <w:szCs w:val="18"/>
              </w:rPr>
            </w:pPr>
            <w:r>
              <w:rPr>
                <w:rFonts w:ascii="Times New Roman" w:hAnsi="Times New Roman" w:eastAsia="宋体" w:cs="Times New Roman"/>
                <w:sz w:val="18"/>
                <w:szCs w:val="18"/>
              </w:rPr>
              <w:t>【</w:t>
            </w:r>
            <w:r>
              <w:rPr>
                <w:rFonts w:hint="eastAsia" w:ascii="Times New Roman" w:hAnsi="Times New Roman" w:eastAsia="宋体" w:cs="Times New Roman"/>
                <w:sz w:val="18"/>
                <w:szCs w:val="18"/>
              </w:rPr>
              <w:t>文献</w:t>
            </w:r>
            <w:r>
              <w:rPr>
                <w:rFonts w:ascii="Times New Roman" w:hAnsi="Times New Roman" w:eastAsia="宋体" w:cs="Times New Roman"/>
                <w:sz w:val="18"/>
                <w:szCs w:val="18"/>
              </w:rPr>
              <w:t>】</w:t>
            </w:r>
            <w:r>
              <w:rPr>
                <w:rFonts w:hint="eastAsia" w:ascii="Times New Roman" w:hAnsi="Times New Roman" w:eastAsia="宋体" w:cs="Times New Roman"/>
                <w:sz w:val="18"/>
                <w:szCs w:val="18"/>
              </w:rPr>
              <w:t>糖酵解作用的相关文献，帮助学生深入理解糖酵解对于生命体的重要意义</w:t>
            </w:r>
          </w:p>
        </w:tc>
        <w:tc>
          <w:tcPr>
            <w:tcW w:w="2160" w:type="pct"/>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课前：学生自行预习视频及教学课件</w:t>
            </w:r>
          </w:p>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课中1：【课前小</w:t>
            </w:r>
            <w:r>
              <w:rPr>
                <w:rFonts w:ascii="Times New Roman" w:hAnsi="Times New Roman" w:eastAsia="宋体" w:cs="Times New Roman"/>
                <w:sz w:val="18"/>
                <w:szCs w:val="18"/>
              </w:rPr>
              <w:t>测】线上</w:t>
            </w:r>
            <w:r>
              <w:rPr>
                <w:rFonts w:hint="eastAsia" w:ascii="Times New Roman" w:hAnsi="Times New Roman" w:eastAsia="宋体" w:cs="Times New Roman"/>
                <w:sz w:val="18"/>
                <w:szCs w:val="18"/>
              </w:rPr>
              <w:t>检</w:t>
            </w:r>
            <w:r>
              <w:rPr>
                <w:rFonts w:ascii="Times New Roman" w:hAnsi="Times New Roman" w:eastAsia="宋体" w:cs="Times New Roman"/>
                <w:sz w:val="18"/>
                <w:szCs w:val="18"/>
              </w:rPr>
              <w:t>测</w:t>
            </w:r>
            <w:r>
              <w:rPr>
                <w:rFonts w:hint="eastAsia" w:ascii="Times New Roman" w:hAnsi="Times New Roman" w:eastAsia="宋体" w:cs="Times New Roman"/>
                <w:sz w:val="18"/>
                <w:szCs w:val="18"/>
              </w:rPr>
              <w:t>学生预习情况，包括糖酵解的产物、发生场所等</w:t>
            </w:r>
          </w:p>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课中2：【讲授】讲解重点、难点，深入理解其糖酵解定义里每句话代表的意义，明确糖酵解在糖代谢中的基础性作用</w:t>
            </w:r>
          </w:p>
          <w:p>
            <w:pPr>
              <w:spacing w:line="400" w:lineRule="exact"/>
              <w:rPr>
                <w:rFonts w:ascii="Times New Roman" w:hAnsi="Times New Roman"/>
                <w:b/>
                <w:bCs/>
                <w:sz w:val="18"/>
                <w:szCs w:val="18"/>
              </w:rPr>
            </w:pPr>
            <w:r>
              <w:rPr>
                <w:rFonts w:hint="eastAsia" w:ascii="Times New Roman" w:hAnsi="Times New Roman" w:eastAsia="宋体" w:cs="Times New Roman"/>
                <w:sz w:val="18"/>
                <w:szCs w:val="18"/>
              </w:rPr>
              <w:t>课后：【扩展阅读+讨论】通过阅读相关文献，讨论糖酵解除了是糖代谢中不可或缺的环节，还有哪些重要意义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73" w:type="pct"/>
            <w:vMerge w:val="continue"/>
            <w:tcBorders>
              <w:top w:val="single" w:color="auto" w:sz="4" w:space="0"/>
              <w:left w:val="single" w:color="auto" w:sz="4" w:space="0"/>
              <w:right w:val="single" w:color="auto" w:sz="4" w:space="0"/>
            </w:tcBorders>
          </w:tcPr>
          <w:p>
            <w:pPr>
              <w:spacing w:line="400" w:lineRule="exact"/>
              <w:rPr>
                <w:rFonts w:ascii="Times New Roman" w:hAnsi="Times New Roman" w:eastAsia="宋体" w:cs="Times New Roman"/>
                <w:sz w:val="18"/>
                <w:szCs w:val="18"/>
              </w:rPr>
            </w:pPr>
          </w:p>
        </w:tc>
        <w:tc>
          <w:tcPr>
            <w:tcW w:w="689"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知识</w:t>
            </w:r>
            <w:r>
              <w:rPr>
                <w:rFonts w:hint="eastAsia" w:ascii="Times New Roman" w:hAnsi="Times New Roman" w:eastAsia="宋体" w:cs="Times New Roman"/>
                <w:sz w:val="18"/>
                <w:szCs w:val="18"/>
              </w:rPr>
              <w:t>点</w:t>
            </w:r>
            <w:r>
              <w:rPr>
                <w:rFonts w:ascii="Times New Roman" w:hAnsi="Times New Roman" w:eastAsia="宋体" w:cs="Times New Roman"/>
                <w:sz w:val="18"/>
                <w:szCs w:val="18"/>
              </w:rPr>
              <w:t>2：</w:t>
            </w:r>
            <w:r>
              <w:rPr>
                <w:rFonts w:hint="eastAsia" w:ascii="Times New Roman" w:hAnsi="Times New Roman" w:eastAsia="宋体" w:cs="Times New Roman"/>
                <w:sz w:val="18"/>
                <w:szCs w:val="18"/>
              </w:rPr>
              <w:t>糖酵解的反应历程</w:t>
            </w:r>
          </w:p>
        </w:tc>
        <w:tc>
          <w:tcPr>
            <w:tcW w:w="1378" w:type="pct"/>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宋体" w:cs="Times New Roman"/>
                <w:sz w:val="18"/>
                <w:szCs w:val="18"/>
              </w:rPr>
            </w:pPr>
            <w:r>
              <w:rPr>
                <w:rFonts w:ascii="Times New Roman" w:hAnsi="Times New Roman" w:eastAsia="宋体" w:cs="Times New Roman"/>
                <w:sz w:val="18"/>
                <w:szCs w:val="18"/>
              </w:rPr>
              <w:t>【</w:t>
            </w:r>
            <w:r>
              <w:rPr>
                <w:rFonts w:hint="eastAsia" w:ascii="Times New Roman" w:hAnsi="Times New Roman" w:eastAsia="宋体" w:cs="Times New Roman"/>
                <w:sz w:val="18"/>
                <w:szCs w:val="18"/>
              </w:rPr>
              <w:t>视频</w:t>
            </w:r>
            <w:r>
              <w:rPr>
                <w:rFonts w:ascii="Times New Roman" w:hAnsi="Times New Roman" w:eastAsia="宋体" w:cs="Times New Roman"/>
                <w:sz w:val="18"/>
                <w:szCs w:val="18"/>
              </w:rPr>
              <w:t>】</w:t>
            </w:r>
            <w:r>
              <w:rPr>
                <w:rFonts w:hint="eastAsia" w:ascii="Times New Roman" w:hAnsi="Times New Roman" w:eastAsia="宋体" w:cs="Times New Roman"/>
                <w:sz w:val="18"/>
                <w:szCs w:val="18"/>
              </w:rPr>
              <w:t>糖酵解的整个代谢过程，包括物质的生成及能量的变化</w:t>
            </w:r>
          </w:p>
          <w:p>
            <w:pPr>
              <w:spacing w:line="400" w:lineRule="exact"/>
              <w:rPr>
                <w:rFonts w:ascii="Times New Roman" w:hAnsi="Times New Roman" w:eastAsia="宋体" w:cs="Times New Roman"/>
                <w:sz w:val="18"/>
                <w:szCs w:val="18"/>
              </w:rPr>
            </w:pPr>
            <w:r>
              <w:rPr>
                <w:rFonts w:ascii="Times New Roman" w:hAnsi="Times New Roman" w:eastAsia="宋体" w:cs="Times New Roman"/>
                <w:sz w:val="18"/>
                <w:szCs w:val="18"/>
              </w:rPr>
              <w:t>【</w:t>
            </w:r>
            <w:r>
              <w:rPr>
                <w:rFonts w:hint="eastAsia" w:ascii="Times New Roman" w:hAnsi="Times New Roman" w:eastAsia="宋体" w:cs="Times New Roman"/>
                <w:sz w:val="18"/>
                <w:szCs w:val="18"/>
              </w:rPr>
              <w:t>PPT</w:t>
            </w:r>
            <w:r>
              <w:rPr>
                <w:rFonts w:ascii="Times New Roman" w:hAnsi="Times New Roman" w:eastAsia="宋体" w:cs="Times New Roman"/>
                <w:sz w:val="18"/>
                <w:szCs w:val="18"/>
              </w:rPr>
              <w:t>】</w:t>
            </w:r>
            <w:r>
              <w:rPr>
                <w:rFonts w:hint="eastAsia" w:ascii="Times New Roman" w:hAnsi="Times New Roman" w:eastAsia="宋体" w:cs="Times New Roman"/>
                <w:sz w:val="18"/>
                <w:szCs w:val="18"/>
              </w:rPr>
              <w:t>拆解糖酵解的每步反应，包括催化的酶及反应过程的能量变化</w:t>
            </w:r>
          </w:p>
          <w:p>
            <w:pPr>
              <w:spacing w:line="400" w:lineRule="exact"/>
              <w:rPr>
                <w:rFonts w:ascii="Times New Roman" w:hAnsi="Times New Roman"/>
                <w:b/>
                <w:bCs/>
                <w:sz w:val="18"/>
                <w:szCs w:val="18"/>
              </w:rPr>
            </w:pPr>
            <w:r>
              <w:rPr>
                <w:rFonts w:ascii="Times New Roman" w:hAnsi="Times New Roman" w:eastAsia="宋体" w:cs="Times New Roman"/>
                <w:sz w:val="18"/>
                <w:szCs w:val="18"/>
              </w:rPr>
              <w:t>【</w:t>
            </w:r>
            <w:r>
              <w:rPr>
                <w:rFonts w:hint="eastAsia" w:ascii="Times New Roman" w:hAnsi="Times New Roman" w:eastAsia="宋体" w:cs="Times New Roman"/>
                <w:sz w:val="18"/>
                <w:szCs w:val="18"/>
              </w:rPr>
              <w:t>扩展视频</w:t>
            </w:r>
            <w:r>
              <w:rPr>
                <w:rFonts w:ascii="Times New Roman" w:hAnsi="Times New Roman" w:eastAsia="宋体" w:cs="Times New Roman"/>
                <w:sz w:val="18"/>
                <w:szCs w:val="18"/>
              </w:rPr>
              <w:t>】</w:t>
            </w:r>
            <w:r>
              <w:rPr>
                <w:rFonts w:hint="eastAsia" w:ascii="Times New Roman" w:hAnsi="Times New Roman" w:eastAsia="宋体" w:cs="Times New Roman"/>
                <w:sz w:val="18"/>
                <w:szCs w:val="18"/>
              </w:rPr>
              <w:t>引用外文经典视频，开阔学生视野，同时有利于学生对于英文专有名词的学习</w:t>
            </w:r>
          </w:p>
        </w:tc>
        <w:tc>
          <w:tcPr>
            <w:tcW w:w="2160" w:type="pct"/>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课前：学生自行预习视频及课件</w:t>
            </w:r>
          </w:p>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课中1：【课前小测</w:t>
            </w:r>
            <w:r>
              <w:rPr>
                <w:rFonts w:ascii="Times New Roman" w:hAnsi="Times New Roman" w:eastAsia="宋体" w:cs="Times New Roman"/>
                <w:sz w:val="18"/>
                <w:szCs w:val="18"/>
              </w:rPr>
              <w:t>】线上</w:t>
            </w:r>
            <w:r>
              <w:rPr>
                <w:rFonts w:hint="eastAsia" w:ascii="Times New Roman" w:hAnsi="Times New Roman" w:eastAsia="宋体" w:cs="Times New Roman"/>
                <w:sz w:val="18"/>
                <w:szCs w:val="18"/>
              </w:rPr>
              <w:t>检</w:t>
            </w:r>
            <w:r>
              <w:rPr>
                <w:rFonts w:ascii="Times New Roman" w:hAnsi="Times New Roman" w:eastAsia="宋体" w:cs="Times New Roman"/>
                <w:sz w:val="18"/>
                <w:szCs w:val="18"/>
              </w:rPr>
              <w:t>测</w:t>
            </w:r>
            <w:r>
              <w:rPr>
                <w:rFonts w:hint="eastAsia" w:ascii="Times New Roman" w:hAnsi="Times New Roman" w:eastAsia="宋体" w:cs="Times New Roman"/>
                <w:sz w:val="18"/>
                <w:szCs w:val="18"/>
              </w:rPr>
              <w:t>学生预习情况，包括糖酵解反应分为几个阶段，以及每个阶段的特点</w:t>
            </w:r>
          </w:p>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课中2：【讲授】讲解课程重点、难点，深入理解糖酵解的代谢过程，明确每步反应的物质的变化及能量的变化</w:t>
            </w:r>
          </w:p>
          <w:p>
            <w:pPr>
              <w:spacing w:line="400" w:lineRule="exact"/>
              <w:rPr>
                <w:rFonts w:ascii="Times New Roman" w:hAnsi="Times New Roman"/>
                <w:b/>
                <w:bCs/>
                <w:sz w:val="18"/>
                <w:szCs w:val="18"/>
              </w:rPr>
            </w:pPr>
            <w:r>
              <w:rPr>
                <w:rFonts w:hint="eastAsia" w:ascii="Times New Roman" w:hAnsi="Times New Roman" w:eastAsia="宋体" w:cs="Times New Roman"/>
                <w:sz w:val="18"/>
                <w:szCs w:val="18"/>
              </w:rPr>
              <w:t>课后：【课后作业】糖酵解在有氧和无氧条件下产生的能量是否相同？1分子葡萄糖经过糖酵解分别能产生多少分子ATP？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73" w:type="pct"/>
            <w:vMerge w:val="continue"/>
            <w:tcBorders>
              <w:left w:val="single" w:color="auto" w:sz="4" w:space="0"/>
              <w:bottom w:val="single" w:color="auto" w:sz="4" w:space="0"/>
              <w:right w:val="single" w:color="auto" w:sz="4" w:space="0"/>
            </w:tcBorders>
          </w:tcPr>
          <w:p>
            <w:pPr>
              <w:spacing w:line="400" w:lineRule="exact"/>
              <w:rPr>
                <w:rFonts w:ascii="Times New Roman" w:hAnsi="Times New Roman"/>
                <w:b/>
                <w:bCs/>
                <w:sz w:val="18"/>
                <w:szCs w:val="18"/>
              </w:rPr>
            </w:pPr>
          </w:p>
        </w:tc>
        <w:tc>
          <w:tcPr>
            <w:tcW w:w="689" w:type="pct"/>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b/>
                <w:bCs/>
                <w:sz w:val="18"/>
                <w:szCs w:val="18"/>
              </w:rPr>
            </w:pPr>
            <w:r>
              <w:rPr>
                <w:rFonts w:hint="eastAsia" w:ascii="Times New Roman" w:hAnsi="Times New Roman" w:eastAsia="宋体" w:cs="Times New Roman"/>
                <w:sz w:val="18"/>
                <w:szCs w:val="18"/>
              </w:rPr>
              <w:t>知识点</w:t>
            </w:r>
            <w:r>
              <w:rPr>
                <w:rFonts w:ascii="Times New Roman" w:hAnsi="Times New Roman" w:eastAsia="宋体" w:cs="Times New Roman"/>
                <w:sz w:val="18"/>
                <w:szCs w:val="18"/>
              </w:rPr>
              <w:t>3：</w:t>
            </w:r>
            <w:r>
              <w:rPr>
                <w:rFonts w:hint="eastAsia" w:ascii="Times New Roman" w:hAnsi="Times New Roman" w:eastAsia="宋体" w:cs="Times New Roman"/>
                <w:sz w:val="18"/>
                <w:szCs w:val="18"/>
              </w:rPr>
              <w:t>糖酵解的调节</w:t>
            </w:r>
          </w:p>
        </w:tc>
        <w:tc>
          <w:tcPr>
            <w:tcW w:w="1378" w:type="pct"/>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宋体" w:cs="Times New Roman"/>
                <w:sz w:val="18"/>
                <w:szCs w:val="18"/>
              </w:rPr>
            </w:pPr>
            <w:r>
              <w:rPr>
                <w:rFonts w:ascii="Times New Roman" w:hAnsi="Times New Roman" w:eastAsia="宋体" w:cs="Times New Roman"/>
                <w:sz w:val="18"/>
                <w:szCs w:val="18"/>
              </w:rPr>
              <w:t>【</w:t>
            </w:r>
            <w:r>
              <w:rPr>
                <w:rFonts w:hint="eastAsia" w:ascii="Times New Roman" w:hAnsi="Times New Roman" w:eastAsia="宋体" w:cs="Times New Roman"/>
                <w:sz w:val="18"/>
                <w:szCs w:val="18"/>
              </w:rPr>
              <w:t>视频</w:t>
            </w:r>
            <w:r>
              <w:rPr>
                <w:rFonts w:ascii="Times New Roman" w:hAnsi="Times New Roman" w:eastAsia="宋体" w:cs="Times New Roman"/>
                <w:sz w:val="18"/>
                <w:szCs w:val="18"/>
              </w:rPr>
              <w:t>】</w:t>
            </w:r>
            <w:r>
              <w:rPr>
                <w:rFonts w:hint="eastAsia" w:ascii="Times New Roman" w:hAnsi="Times New Roman" w:eastAsia="宋体" w:cs="Times New Roman"/>
                <w:sz w:val="18"/>
                <w:szCs w:val="18"/>
              </w:rPr>
              <w:t>糖酵解反应过程中的关键步骤及关键酶的作用</w:t>
            </w:r>
          </w:p>
          <w:p>
            <w:pPr>
              <w:spacing w:line="400" w:lineRule="exact"/>
              <w:rPr>
                <w:rFonts w:ascii="Times New Roman" w:hAnsi="Times New Roman" w:eastAsia="宋体" w:cs="Times New Roman"/>
                <w:sz w:val="18"/>
                <w:szCs w:val="18"/>
              </w:rPr>
            </w:pPr>
            <w:r>
              <w:rPr>
                <w:rFonts w:ascii="Times New Roman" w:hAnsi="Times New Roman" w:eastAsia="宋体" w:cs="Times New Roman"/>
                <w:sz w:val="18"/>
                <w:szCs w:val="18"/>
              </w:rPr>
              <w:t>【</w:t>
            </w:r>
            <w:r>
              <w:rPr>
                <w:rFonts w:hint="eastAsia" w:ascii="Times New Roman" w:hAnsi="Times New Roman" w:eastAsia="宋体" w:cs="Times New Roman"/>
                <w:sz w:val="18"/>
                <w:szCs w:val="18"/>
              </w:rPr>
              <w:t>PPT</w:t>
            </w:r>
            <w:r>
              <w:rPr>
                <w:rFonts w:ascii="Times New Roman" w:hAnsi="Times New Roman" w:eastAsia="宋体" w:cs="Times New Roman"/>
                <w:sz w:val="18"/>
                <w:szCs w:val="18"/>
              </w:rPr>
              <w:t>】</w:t>
            </w:r>
            <w:r>
              <w:rPr>
                <w:rFonts w:hint="eastAsia" w:ascii="Times New Roman" w:hAnsi="Times New Roman" w:eastAsia="宋体" w:cs="Times New Roman"/>
                <w:sz w:val="18"/>
                <w:szCs w:val="18"/>
              </w:rPr>
              <w:t>糖酵解反应过程中的三个不可骤反应，对于催化三步反应的酶的正负调节</w:t>
            </w:r>
          </w:p>
          <w:p>
            <w:pPr>
              <w:spacing w:line="400" w:lineRule="exact"/>
              <w:rPr>
                <w:rFonts w:ascii="Times New Roman" w:hAnsi="Times New Roman"/>
                <w:b/>
                <w:bCs/>
                <w:sz w:val="18"/>
                <w:szCs w:val="18"/>
              </w:rPr>
            </w:pPr>
          </w:p>
        </w:tc>
        <w:tc>
          <w:tcPr>
            <w:tcW w:w="2160" w:type="pct"/>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课前：学生自行预习视频及课件</w:t>
            </w:r>
          </w:p>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课中1：【课前小测</w:t>
            </w:r>
            <w:r>
              <w:rPr>
                <w:rFonts w:ascii="Times New Roman" w:hAnsi="Times New Roman" w:eastAsia="宋体" w:cs="Times New Roman"/>
                <w:sz w:val="18"/>
                <w:szCs w:val="18"/>
              </w:rPr>
              <w:t>】线上</w:t>
            </w:r>
            <w:r>
              <w:rPr>
                <w:rFonts w:hint="eastAsia" w:ascii="Times New Roman" w:hAnsi="Times New Roman" w:eastAsia="宋体" w:cs="Times New Roman"/>
                <w:sz w:val="18"/>
                <w:szCs w:val="18"/>
              </w:rPr>
              <w:t>检</w:t>
            </w:r>
            <w:r>
              <w:rPr>
                <w:rFonts w:ascii="Times New Roman" w:hAnsi="Times New Roman" w:eastAsia="宋体" w:cs="Times New Roman"/>
                <w:sz w:val="18"/>
                <w:szCs w:val="18"/>
              </w:rPr>
              <w:t>测</w:t>
            </w:r>
            <w:r>
              <w:rPr>
                <w:rFonts w:hint="eastAsia" w:ascii="Times New Roman" w:hAnsi="Times New Roman" w:eastAsia="宋体" w:cs="Times New Roman"/>
                <w:sz w:val="18"/>
                <w:szCs w:val="18"/>
              </w:rPr>
              <w:t>学生预习情况，包括哪个三个酶是糖酵解反应过程中的关键酶，分别催化哪步反应。</w:t>
            </w:r>
          </w:p>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课中2：【讲授】讲解课程重点、难点，三个代谢关键酶催化反应的调节机制</w:t>
            </w:r>
          </w:p>
          <w:p>
            <w:pPr>
              <w:spacing w:line="400" w:lineRule="exact"/>
              <w:rPr>
                <w:rFonts w:ascii="Times New Roman" w:hAnsi="Times New Roman"/>
                <w:b/>
                <w:bCs/>
                <w:sz w:val="18"/>
                <w:szCs w:val="18"/>
              </w:rPr>
            </w:pPr>
            <w:r>
              <w:rPr>
                <w:rFonts w:hint="eastAsia" w:ascii="Times New Roman" w:hAnsi="Times New Roman" w:eastAsia="宋体" w:cs="Times New Roman"/>
                <w:sz w:val="18"/>
                <w:szCs w:val="18"/>
              </w:rPr>
              <w:t>课后：【讨论】糖代谢除了进行糖酵解外，是否有其他代谢途径，什么样的情况下会进入其他代谢途径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73" w:type="pct"/>
            <w:vMerge w:val="restart"/>
            <w:tcBorders>
              <w:top w:val="single" w:color="auto" w:sz="4" w:space="0"/>
              <w:left w:val="single" w:color="auto" w:sz="4" w:space="0"/>
              <w:right w:val="single" w:color="auto" w:sz="4" w:space="0"/>
            </w:tcBorders>
          </w:tcPr>
          <w:p>
            <w:pPr>
              <w:spacing w:line="400" w:lineRule="exact"/>
              <w:rPr>
                <w:rFonts w:ascii="Times New Roman" w:hAnsi="Times New Roman" w:eastAsia="宋体" w:cs="Times New Roman"/>
                <w:sz w:val="18"/>
                <w:szCs w:val="18"/>
              </w:rPr>
            </w:pPr>
            <w:r>
              <w:rPr>
                <w:rFonts w:ascii="Times New Roman" w:hAnsi="Times New Roman" w:eastAsia="宋体" w:cs="Times New Roman"/>
                <w:sz w:val="18"/>
                <w:szCs w:val="18"/>
              </w:rPr>
              <w:t>教学目标2：</w:t>
            </w:r>
          </w:p>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掌握丙酮酸分别在无氧和有氧的环境下可能发生的反应，以及此过程中物质和能量的变化；理解这些反应对于生命体的意义</w:t>
            </w:r>
          </w:p>
        </w:tc>
        <w:tc>
          <w:tcPr>
            <w:tcW w:w="689" w:type="pct"/>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知识点</w:t>
            </w:r>
            <w:r>
              <w:rPr>
                <w:rFonts w:ascii="Times New Roman" w:hAnsi="Times New Roman" w:eastAsia="宋体" w:cs="Times New Roman"/>
                <w:sz w:val="18"/>
                <w:szCs w:val="18"/>
              </w:rPr>
              <w:t>1：</w:t>
            </w:r>
            <w:r>
              <w:rPr>
                <w:rFonts w:hint="eastAsia" w:ascii="Times New Roman" w:hAnsi="Times New Roman" w:eastAsia="宋体" w:cs="Times New Roman"/>
                <w:sz w:val="18"/>
                <w:szCs w:val="18"/>
              </w:rPr>
              <w:t>无氧条件下的丙酮酸去向</w:t>
            </w:r>
            <w:r>
              <w:rPr>
                <w:rFonts w:ascii="Times New Roman" w:hAnsi="Times New Roman" w:eastAsia="宋体" w:cs="Times New Roman"/>
                <w:sz w:val="18"/>
                <w:szCs w:val="18"/>
              </w:rPr>
              <w:t xml:space="preserve"> </w:t>
            </w:r>
          </w:p>
        </w:tc>
        <w:tc>
          <w:tcPr>
            <w:tcW w:w="1378" w:type="pct"/>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宋体" w:cs="Times New Roman"/>
                <w:sz w:val="18"/>
                <w:szCs w:val="18"/>
              </w:rPr>
            </w:pPr>
            <w:r>
              <w:rPr>
                <w:rFonts w:ascii="Times New Roman" w:hAnsi="Times New Roman" w:eastAsia="宋体" w:cs="Times New Roman"/>
                <w:sz w:val="18"/>
                <w:szCs w:val="18"/>
              </w:rPr>
              <w:t>【视频】</w:t>
            </w:r>
            <w:r>
              <w:rPr>
                <w:rFonts w:hint="eastAsia" w:ascii="Times New Roman" w:hAnsi="Times New Roman" w:eastAsia="宋体" w:cs="Times New Roman"/>
                <w:sz w:val="18"/>
                <w:szCs w:val="18"/>
              </w:rPr>
              <w:t>糖酵解的产物丙酮酸在无氧条件下生成乙醇或乳酸的反应过程</w:t>
            </w:r>
          </w:p>
          <w:p>
            <w:pPr>
              <w:spacing w:line="400" w:lineRule="exact"/>
              <w:rPr>
                <w:rFonts w:ascii="Times New Roman" w:hAnsi="Times New Roman"/>
                <w:b/>
                <w:bCs/>
                <w:sz w:val="18"/>
                <w:szCs w:val="18"/>
              </w:rPr>
            </w:pPr>
            <w:r>
              <w:rPr>
                <w:rFonts w:ascii="Times New Roman" w:hAnsi="Times New Roman" w:eastAsia="宋体" w:cs="Times New Roman"/>
                <w:sz w:val="18"/>
                <w:szCs w:val="18"/>
              </w:rPr>
              <w:t>【</w:t>
            </w:r>
            <w:r>
              <w:rPr>
                <w:rFonts w:hint="eastAsia" w:ascii="Times New Roman" w:hAnsi="Times New Roman" w:eastAsia="宋体" w:cs="Times New Roman"/>
                <w:sz w:val="18"/>
                <w:szCs w:val="18"/>
              </w:rPr>
              <w:t>PPT</w:t>
            </w:r>
            <w:r>
              <w:rPr>
                <w:rFonts w:ascii="Times New Roman" w:hAnsi="Times New Roman" w:eastAsia="宋体" w:cs="Times New Roman"/>
                <w:sz w:val="18"/>
                <w:szCs w:val="18"/>
              </w:rPr>
              <w:t>】</w:t>
            </w:r>
            <w:r>
              <w:rPr>
                <w:rFonts w:hint="eastAsia" w:ascii="Times New Roman" w:hAnsi="Times New Roman" w:eastAsia="宋体" w:cs="Times New Roman"/>
                <w:sz w:val="18"/>
                <w:szCs w:val="18"/>
              </w:rPr>
              <w:t>丙酮酸生成乙醇或乳酸的具体反应过程，以及其中参与反应物质的来源，该反应对于生命体的意义</w:t>
            </w:r>
          </w:p>
        </w:tc>
        <w:tc>
          <w:tcPr>
            <w:tcW w:w="2160" w:type="pct"/>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课前：学生自行预习视频及课件</w:t>
            </w:r>
          </w:p>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课中1：【课前小测</w:t>
            </w:r>
            <w:r>
              <w:rPr>
                <w:rFonts w:ascii="Times New Roman" w:hAnsi="Times New Roman" w:eastAsia="宋体" w:cs="Times New Roman"/>
                <w:sz w:val="18"/>
                <w:szCs w:val="18"/>
              </w:rPr>
              <w:t>】线上</w:t>
            </w:r>
            <w:r>
              <w:rPr>
                <w:rFonts w:hint="eastAsia" w:ascii="Times New Roman" w:hAnsi="Times New Roman" w:eastAsia="宋体" w:cs="Times New Roman"/>
                <w:sz w:val="18"/>
                <w:szCs w:val="18"/>
              </w:rPr>
              <w:t>检</w:t>
            </w:r>
            <w:r>
              <w:rPr>
                <w:rFonts w:ascii="Times New Roman" w:hAnsi="Times New Roman" w:eastAsia="宋体" w:cs="Times New Roman"/>
                <w:sz w:val="18"/>
                <w:szCs w:val="18"/>
              </w:rPr>
              <w:t>测</w:t>
            </w:r>
            <w:r>
              <w:rPr>
                <w:rFonts w:hint="eastAsia" w:ascii="Times New Roman" w:hAnsi="Times New Roman" w:eastAsia="宋体" w:cs="Times New Roman"/>
                <w:sz w:val="18"/>
                <w:szCs w:val="18"/>
              </w:rPr>
              <w:t>学生预习情况，包括丙酮酸在无氧条件下可生成哪些物质，此过程可否有能量生成。</w:t>
            </w:r>
          </w:p>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课中2：【讲授】讲解课程重点、难点，明确丙酮酸在无氧环境下生成乙醇或乳酸的条件、反应的发生过程以及该反应的意义</w:t>
            </w:r>
          </w:p>
          <w:p>
            <w:pPr>
              <w:spacing w:line="400" w:lineRule="exact"/>
              <w:rPr>
                <w:rFonts w:ascii="Times New Roman" w:hAnsi="Times New Roman"/>
                <w:b/>
                <w:bCs/>
                <w:sz w:val="18"/>
                <w:szCs w:val="18"/>
              </w:rPr>
            </w:pPr>
            <w:r>
              <w:rPr>
                <w:rFonts w:hint="eastAsia" w:ascii="Times New Roman" w:hAnsi="Times New Roman" w:eastAsia="宋体" w:cs="Times New Roman"/>
                <w:sz w:val="18"/>
                <w:szCs w:val="18"/>
              </w:rPr>
              <w:t>课后：【讨论】尝试列举身边丙酮酸生成乙醇或乳酸的例子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73" w:type="pct"/>
            <w:vMerge w:val="continue"/>
            <w:tcBorders>
              <w:left w:val="single" w:color="auto" w:sz="4" w:space="0"/>
              <w:bottom w:val="single" w:color="auto" w:sz="4" w:space="0"/>
              <w:right w:val="single" w:color="auto" w:sz="4" w:space="0"/>
            </w:tcBorders>
          </w:tcPr>
          <w:p>
            <w:pPr>
              <w:spacing w:line="400" w:lineRule="exact"/>
              <w:rPr>
                <w:rFonts w:ascii="Times New Roman" w:hAnsi="Times New Roman"/>
                <w:b/>
                <w:bCs/>
                <w:sz w:val="18"/>
                <w:szCs w:val="18"/>
              </w:rPr>
            </w:pPr>
          </w:p>
        </w:tc>
        <w:tc>
          <w:tcPr>
            <w:tcW w:w="689" w:type="pct"/>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b/>
                <w:bCs/>
                <w:sz w:val="18"/>
                <w:szCs w:val="18"/>
              </w:rPr>
            </w:pPr>
            <w:r>
              <w:rPr>
                <w:rFonts w:hint="eastAsia" w:ascii="Times New Roman" w:hAnsi="Times New Roman" w:eastAsia="宋体" w:cs="Times New Roman"/>
                <w:sz w:val="18"/>
                <w:szCs w:val="18"/>
              </w:rPr>
              <w:t>知识点</w:t>
            </w:r>
            <w:r>
              <w:rPr>
                <w:rFonts w:ascii="Times New Roman" w:hAnsi="Times New Roman" w:eastAsia="宋体" w:cs="Times New Roman"/>
                <w:sz w:val="18"/>
                <w:szCs w:val="18"/>
              </w:rPr>
              <w:t>2：</w:t>
            </w:r>
            <w:r>
              <w:rPr>
                <w:rFonts w:hint="eastAsia" w:ascii="Times New Roman" w:hAnsi="Times New Roman" w:eastAsia="宋体" w:cs="Times New Roman"/>
                <w:sz w:val="18"/>
                <w:szCs w:val="18"/>
              </w:rPr>
              <w:t>有氧条件下的丙酮酸去向</w:t>
            </w:r>
          </w:p>
        </w:tc>
        <w:tc>
          <w:tcPr>
            <w:tcW w:w="1378" w:type="pct"/>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宋体" w:cs="Times New Roman"/>
                <w:sz w:val="18"/>
                <w:szCs w:val="18"/>
              </w:rPr>
            </w:pPr>
            <w:r>
              <w:rPr>
                <w:rFonts w:ascii="Times New Roman" w:hAnsi="Times New Roman" w:eastAsia="宋体" w:cs="Times New Roman"/>
                <w:sz w:val="18"/>
                <w:szCs w:val="18"/>
              </w:rPr>
              <w:t>【视频】</w:t>
            </w:r>
            <w:r>
              <w:rPr>
                <w:rFonts w:hint="eastAsia" w:ascii="Times New Roman" w:hAnsi="Times New Roman" w:eastAsia="宋体" w:cs="Times New Roman"/>
                <w:sz w:val="18"/>
                <w:szCs w:val="18"/>
              </w:rPr>
              <w:t>糖酵解的产物丙酮酸在有氧条件下生成乙酰辅酶A的反应过程</w:t>
            </w:r>
          </w:p>
          <w:p>
            <w:pPr>
              <w:spacing w:line="400" w:lineRule="exact"/>
              <w:rPr>
                <w:rFonts w:ascii="Times New Roman" w:hAnsi="Times New Roman" w:eastAsia="宋体" w:cs="Times New Roman"/>
                <w:sz w:val="18"/>
                <w:szCs w:val="18"/>
              </w:rPr>
            </w:pPr>
            <w:r>
              <w:rPr>
                <w:rFonts w:ascii="Times New Roman" w:hAnsi="Times New Roman" w:eastAsia="宋体" w:cs="Times New Roman"/>
                <w:sz w:val="18"/>
                <w:szCs w:val="18"/>
              </w:rPr>
              <w:t>【</w:t>
            </w:r>
            <w:r>
              <w:rPr>
                <w:rFonts w:hint="eastAsia" w:ascii="Times New Roman" w:hAnsi="Times New Roman" w:eastAsia="宋体" w:cs="Times New Roman"/>
                <w:sz w:val="18"/>
                <w:szCs w:val="18"/>
              </w:rPr>
              <w:t>PPT</w:t>
            </w:r>
            <w:r>
              <w:rPr>
                <w:rFonts w:ascii="Times New Roman" w:hAnsi="Times New Roman" w:eastAsia="宋体" w:cs="Times New Roman"/>
                <w:sz w:val="18"/>
                <w:szCs w:val="18"/>
              </w:rPr>
              <w:t>】</w:t>
            </w:r>
            <w:r>
              <w:rPr>
                <w:rFonts w:hint="eastAsia" w:ascii="Times New Roman" w:hAnsi="Times New Roman" w:eastAsia="宋体" w:cs="Times New Roman"/>
                <w:sz w:val="18"/>
                <w:szCs w:val="18"/>
              </w:rPr>
              <w:t>拆解丙酮酸生成乙酰辅酶A的具体反应过程，以及反应过程中能量的变化</w:t>
            </w:r>
          </w:p>
          <w:p>
            <w:pPr>
              <w:spacing w:line="400" w:lineRule="exact"/>
              <w:rPr>
                <w:rFonts w:ascii="Times New Roman" w:hAnsi="Times New Roman"/>
                <w:b/>
                <w:bCs/>
                <w:sz w:val="18"/>
                <w:szCs w:val="18"/>
              </w:rPr>
            </w:pPr>
            <w:r>
              <w:rPr>
                <w:rFonts w:ascii="Times New Roman" w:hAnsi="Times New Roman" w:eastAsia="宋体" w:cs="Times New Roman"/>
                <w:sz w:val="18"/>
                <w:szCs w:val="18"/>
              </w:rPr>
              <w:t>【</w:t>
            </w:r>
            <w:r>
              <w:rPr>
                <w:rFonts w:hint="eastAsia" w:ascii="Times New Roman" w:hAnsi="Times New Roman" w:eastAsia="宋体" w:cs="Times New Roman"/>
                <w:sz w:val="18"/>
                <w:szCs w:val="18"/>
              </w:rPr>
              <w:t>扩展视频</w:t>
            </w:r>
            <w:r>
              <w:rPr>
                <w:rFonts w:ascii="Times New Roman" w:hAnsi="Times New Roman" w:eastAsia="宋体" w:cs="Times New Roman"/>
                <w:sz w:val="18"/>
                <w:szCs w:val="18"/>
              </w:rPr>
              <w:t>】</w:t>
            </w:r>
            <w:r>
              <w:rPr>
                <w:rFonts w:hint="eastAsia" w:ascii="Times New Roman" w:hAnsi="Times New Roman" w:eastAsia="宋体" w:cs="Times New Roman"/>
                <w:sz w:val="18"/>
                <w:szCs w:val="18"/>
              </w:rPr>
              <w:t>以动画的形式展示丙酮酸脱氢酶，帮助深入了解该酶的性质及作用</w:t>
            </w:r>
          </w:p>
        </w:tc>
        <w:tc>
          <w:tcPr>
            <w:tcW w:w="2160" w:type="pct"/>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课前：学生自行预习视频及课件</w:t>
            </w:r>
          </w:p>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课中1：【课前小测</w:t>
            </w:r>
            <w:r>
              <w:rPr>
                <w:rFonts w:ascii="Times New Roman" w:hAnsi="Times New Roman" w:eastAsia="宋体" w:cs="Times New Roman"/>
                <w:sz w:val="18"/>
                <w:szCs w:val="18"/>
              </w:rPr>
              <w:t>】线上</w:t>
            </w:r>
            <w:r>
              <w:rPr>
                <w:rFonts w:hint="eastAsia" w:ascii="Times New Roman" w:hAnsi="Times New Roman" w:eastAsia="宋体" w:cs="Times New Roman"/>
                <w:sz w:val="18"/>
                <w:szCs w:val="18"/>
              </w:rPr>
              <w:t>检</w:t>
            </w:r>
            <w:r>
              <w:rPr>
                <w:rFonts w:ascii="Times New Roman" w:hAnsi="Times New Roman" w:eastAsia="宋体" w:cs="Times New Roman"/>
                <w:sz w:val="18"/>
                <w:szCs w:val="18"/>
              </w:rPr>
              <w:t>测</w:t>
            </w:r>
            <w:r>
              <w:rPr>
                <w:rFonts w:hint="eastAsia" w:ascii="Times New Roman" w:hAnsi="Times New Roman" w:eastAsia="宋体" w:cs="Times New Roman"/>
                <w:sz w:val="18"/>
                <w:szCs w:val="18"/>
              </w:rPr>
              <w:t>学生预习情况，包括丙酮酸在有氧条件下的产物，以及此过程的能量生成。</w:t>
            </w:r>
          </w:p>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课中2：【讲授】讲解课程重点、难点，明确丙酮酸在有氧环境下生成乙酰辅酶A的条件、反应的发生过程以及该反应的意义，串联糖酵解讲解ATP的生成</w:t>
            </w:r>
          </w:p>
          <w:p>
            <w:pPr>
              <w:spacing w:line="400" w:lineRule="exact"/>
              <w:rPr>
                <w:rFonts w:ascii="Times New Roman" w:hAnsi="Times New Roman"/>
                <w:b/>
                <w:bCs/>
                <w:sz w:val="18"/>
                <w:szCs w:val="18"/>
              </w:rPr>
            </w:pPr>
            <w:r>
              <w:rPr>
                <w:rFonts w:hint="eastAsia" w:ascii="Times New Roman" w:hAnsi="Times New Roman" w:eastAsia="宋体" w:cs="Times New Roman"/>
                <w:sz w:val="18"/>
                <w:szCs w:val="18"/>
              </w:rPr>
              <w:t>课后：【课后作业】1分子葡萄糖经过酵解后生成乙酰辅酶A，此过程可产生多少分子ATP？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73" w:type="pct"/>
            <w:vMerge w:val="restart"/>
            <w:tcBorders>
              <w:top w:val="single" w:color="auto" w:sz="4" w:space="0"/>
              <w:left w:val="single" w:color="auto" w:sz="4" w:space="0"/>
              <w:right w:val="single" w:color="auto" w:sz="4" w:space="0"/>
            </w:tcBorders>
          </w:tcPr>
          <w:p>
            <w:pPr>
              <w:spacing w:line="400" w:lineRule="exact"/>
              <w:rPr>
                <w:rFonts w:ascii="Times New Roman" w:hAnsi="Times New Roman"/>
                <w:b/>
                <w:bCs/>
                <w:sz w:val="18"/>
                <w:szCs w:val="18"/>
              </w:rPr>
            </w:pPr>
            <w:r>
              <w:rPr>
                <w:rFonts w:ascii="Times New Roman" w:hAnsi="Times New Roman" w:eastAsia="宋体" w:cs="Times New Roman"/>
                <w:sz w:val="18"/>
                <w:szCs w:val="18"/>
              </w:rPr>
              <w:t>教学目标3：</w:t>
            </w:r>
            <w:r>
              <w:rPr>
                <w:rFonts w:hint="eastAsia" w:ascii="Times New Roman" w:hAnsi="Times New Roman" w:eastAsia="宋体" w:cs="Times New Roman"/>
                <w:sz w:val="18"/>
                <w:szCs w:val="18"/>
              </w:rPr>
              <w:t>掌握三羧酸循环的反应程，明确各步反应中物质的转换过程以及过程中能量生成位点及数目；理解三羧酸循环在供能方面的重要意义，学会能量变化的计算，了解该方面研究的前沿</w:t>
            </w:r>
            <w:r>
              <w:rPr>
                <w:rFonts w:ascii="Times New Roman" w:hAnsi="Times New Roman"/>
                <w:b/>
                <w:bCs/>
                <w:sz w:val="18"/>
                <w:szCs w:val="18"/>
              </w:rPr>
              <w:t xml:space="preserve"> </w:t>
            </w:r>
          </w:p>
        </w:tc>
        <w:tc>
          <w:tcPr>
            <w:tcW w:w="689" w:type="pc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知识</w:t>
            </w:r>
            <w:r>
              <w:rPr>
                <w:rFonts w:hint="eastAsia" w:ascii="Times New Roman" w:hAnsi="Times New Roman" w:eastAsia="宋体" w:cs="Times New Roman"/>
                <w:sz w:val="18"/>
                <w:szCs w:val="18"/>
              </w:rPr>
              <w:t>点1</w:t>
            </w:r>
            <w:r>
              <w:rPr>
                <w:rFonts w:ascii="Times New Roman" w:hAnsi="Times New Roman" w:eastAsia="宋体" w:cs="Times New Roman"/>
                <w:sz w:val="18"/>
                <w:szCs w:val="18"/>
              </w:rPr>
              <w:t>：三羧酸循环</w:t>
            </w:r>
            <w:r>
              <w:rPr>
                <w:rFonts w:hint="eastAsia" w:ascii="Times New Roman" w:hAnsi="Times New Roman" w:eastAsia="宋体" w:cs="Times New Roman"/>
                <w:sz w:val="18"/>
                <w:szCs w:val="18"/>
              </w:rPr>
              <w:t>的定义及意义</w:t>
            </w:r>
          </w:p>
        </w:tc>
        <w:tc>
          <w:tcPr>
            <w:tcW w:w="1378" w:type="pct"/>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宋体" w:cs="Times New Roman"/>
                <w:sz w:val="18"/>
                <w:szCs w:val="18"/>
              </w:rPr>
            </w:pPr>
            <w:r>
              <w:rPr>
                <w:rFonts w:ascii="Times New Roman" w:hAnsi="Times New Roman" w:eastAsia="宋体" w:cs="Times New Roman"/>
                <w:sz w:val="18"/>
                <w:szCs w:val="18"/>
              </w:rPr>
              <w:t>【</w:t>
            </w:r>
            <w:r>
              <w:rPr>
                <w:rFonts w:hint="eastAsia" w:ascii="Times New Roman" w:hAnsi="Times New Roman" w:eastAsia="宋体" w:cs="Times New Roman"/>
                <w:sz w:val="18"/>
                <w:szCs w:val="18"/>
              </w:rPr>
              <w:t>视频</w:t>
            </w:r>
            <w:r>
              <w:rPr>
                <w:rFonts w:ascii="Times New Roman" w:hAnsi="Times New Roman" w:eastAsia="宋体" w:cs="Times New Roman"/>
                <w:sz w:val="18"/>
                <w:szCs w:val="18"/>
              </w:rPr>
              <w:t>】三羧酸循环</w:t>
            </w:r>
            <w:r>
              <w:rPr>
                <w:rFonts w:hint="eastAsia" w:ascii="Times New Roman" w:hAnsi="Times New Roman" w:eastAsia="宋体" w:cs="Times New Roman"/>
                <w:sz w:val="18"/>
                <w:szCs w:val="18"/>
              </w:rPr>
              <w:t>的定义及该循环在各大物质代谢中以及能量提供中的重要意义</w:t>
            </w:r>
          </w:p>
          <w:p>
            <w:pPr>
              <w:spacing w:line="400" w:lineRule="exact"/>
              <w:rPr>
                <w:rFonts w:ascii="Times New Roman" w:hAnsi="Times New Roman" w:eastAsia="宋体" w:cs="Times New Roman"/>
                <w:sz w:val="18"/>
                <w:szCs w:val="18"/>
              </w:rPr>
            </w:pPr>
            <w:r>
              <w:rPr>
                <w:rFonts w:ascii="Times New Roman" w:hAnsi="Times New Roman" w:eastAsia="宋体" w:cs="Times New Roman"/>
                <w:sz w:val="18"/>
                <w:szCs w:val="18"/>
              </w:rPr>
              <w:t>【</w:t>
            </w:r>
            <w:r>
              <w:rPr>
                <w:rFonts w:hint="eastAsia" w:ascii="Times New Roman" w:hAnsi="Times New Roman" w:eastAsia="宋体" w:cs="Times New Roman"/>
                <w:sz w:val="18"/>
                <w:szCs w:val="18"/>
              </w:rPr>
              <w:t>PPT</w:t>
            </w:r>
            <w:r>
              <w:rPr>
                <w:rFonts w:ascii="Times New Roman" w:hAnsi="Times New Roman" w:eastAsia="宋体" w:cs="Times New Roman"/>
                <w:sz w:val="18"/>
                <w:szCs w:val="18"/>
              </w:rPr>
              <w:t>】三羧酸循环</w:t>
            </w:r>
            <w:r>
              <w:rPr>
                <w:rFonts w:hint="eastAsia" w:ascii="Times New Roman" w:hAnsi="Times New Roman" w:eastAsia="宋体" w:cs="Times New Roman"/>
                <w:sz w:val="18"/>
                <w:szCs w:val="18"/>
              </w:rPr>
              <w:t>的定义、反应场所等，并通过糖、脂、蛋白质的框架代谢图，明确</w:t>
            </w:r>
            <w:r>
              <w:rPr>
                <w:rFonts w:ascii="Times New Roman" w:hAnsi="Times New Roman" w:eastAsia="宋体" w:cs="Times New Roman"/>
                <w:sz w:val="18"/>
                <w:szCs w:val="18"/>
              </w:rPr>
              <w:t>三羧酸循环</w:t>
            </w:r>
            <w:r>
              <w:rPr>
                <w:rFonts w:hint="eastAsia" w:ascii="Times New Roman" w:hAnsi="Times New Roman" w:eastAsia="宋体" w:cs="Times New Roman"/>
                <w:sz w:val="18"/>
                <w:szCs w:val="18"/>
              </w:rPr>
              <w:t>的重要意义</w:t>
            </w:r>
          </w:p>
          <w:p>
            <w:pPr>
              <w:spacing w:line="400" w:lineRule="exact"/>
              <w:rPr>
                <w:rFonts w:ascii="Times New Roman" w:hAnsi="Times New Roman"/>
                <w:b/>
                <w:bCs/>
                <w:sz w:val="18"/>
                <w:szCs w:val="18"/>
              </w:rPr>
            </w:pPr>
            <w:r>
              <w:rPr>
                <w:rFonts w:ascii="Times New Roman" w:hAnsi="Times New Roman" w:eastAsia="宋体" w:cs="Times New Roman"/>
                <w:sz w:val="18"/>
                <w:szCs w:val="18"/>
              </w:rPr>
              <w:t>【</w:t>
            </w:r>
            <w:r>
              <w:rPr>
                <w:rFonts w:hint="eastAsia" w:ascii="Times New Roman" w:hAnsi="Times New Roman" w:eastAsia="宋体" w:cs="Times New Roman"/>
                <w:sz w:val="18"/>
                <w:szCs w:val="18"/>
              </w:rPr>
              <w:t>文献</w:t>
            </w:r>
            <w:r>
              <w:rPr>
                <w:rFonts w:ascii="Times New Roman" w:hAnsi="Times New Roman" w:eastAsia="宋体" w:cs="Times New Roman"/>
                <w:sz w:val="18"/>
                <w:szCs w:val="18"/>
              </w:rPr>
              <w:t>】三羧酸循环</w:t>
            </w:r>
            <w:r>
              <w:rPr>
                <w:rFonts w:hint="eastAsia" w:ascii="Times New Roman" w:hAnsi="Times New Roman" w:eastAsia="宋体" w:cs="Times New Roman"/>
                <w:sz w:val="18"/>
                <w:szCs w:val="18"/>
              </w:rPr>
              <w:t>的相关文献，帮助学生深入理解</w:t>
            </w:r>
            <w:r>
              <w:rPr>
                <w:rFonts w:ascii="Times New Roman" w:hAnsi="Times New Roman" w:eastAsia="宋体" w:cs="Times New Roman"/>
                <w:sz w:val="18"/>
                <w:szCs w:val="18"/>
              </w:rPr>
              <w:t>三羧酸循环</w:t>
            </w:r>
            <w:r>
              <w:rPr>
                <w:rFonts w:hint="eastAsia" w:ascii="Times New Roman" w:hAnsi="Times New Roman" w:eastAsia="宋体" w:cs="Times New Roman"/>
                <w:sz w:val="18"/>
                <w:szCs w:val="18"/>
              </w:rPr>
              <w:t>对于生命体的重要意义</w:t>
            </w:r>
          </w:p>
        </w:tc>
        <w:tc>
          <w:tcPr>
            <w:tcW w:w="2160" w:type="pct"/>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课前：学生自行预习视频及教学课件</w:t>
            </w:r>
          </w:p>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课中1：【课前小</w:t>
            </w:r>
            <w:r>
              <w:rPr>
                <w:rFonts w:ascii="Times New Roman" w:hAnsi="Times New Roman" w:eastAsia="宋体" w:cs="Times New Roman"/>
                <w:sz w:val="18"/>
                <w:szCs w:val="18"/>
              </w:rPr>
              <w:t>测】线上</w:t>
            </w:r>
            <w:r>
              <w:rPr>
                <w:rFonts w:hint="eastAsia" w:ascii="Times New Roman" w:hAnsi="Times New Roman" w:eastAsia="宋体" w:cs="Times New Roman"/>
                <w:sz w:val="18"/>
                <w:szCs w:val="18"/>
              </w:rPr>
              <w:t>检</w:t>
            </w:r>
            <w:r>
              <w:rPr>
                <w:rFonts w:ascii="Times New Roman" w:hAnsi="Times New Roman" w:eastAsia="宋体" w:cs="Times New Roman"/>
                <w:sz w:val="18"/>
                <w:szCs w:val="18"/>
              </w:rPr>
              <w:t>测</w:t>
            </w:r>
            <w:r>
              <w:rPr>
                <w:rFonts w:hint="eastAsia" w:ascii="Times New Roman" w:hAnsi="Times New Roman" w:eastAsia="宋体" w:cs="Times New Roman"/>
                <w:sz w:val="18"/>
                <w:szCs w:val="18"/>
              </w:rPr>
              <w:t>学生预习情况，包括</w:t>
            </w:r>
            <w:r>
              <w:rPr>
                <w:rFonts w:ascii="Times New Roman" w:hAnsi="Times New Roman" w:eastAsia="宋体" w:cs="Times New Roman"/>
                <w:sz w:val="18"/>
                <w:szCs w:val="18"/>
              </w:rPr>
              <w:t>三羧酸循环</w:t>
            </w:r>
            <w:r>
              <w:rPr>
                <w:rFonts w:hint="eastAsia" w:ascii="Times New Roman" w:hAnsi="Times New Roman" w:eastAsia="宋体" w:cs="Times New Roman"/>
                <w:sz w:val="18"/>
                <w:szCs w:val="18"/>
              </w:rPr>
              <w:t>的底物、产物、发生场所等</w:t>
            </w:r>
          </w:p>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课中2：【讲授】讲解重点、难点，通过糖、脂、蛋白质三大物质的整体代谢图，在明确掌握定义的基础上，深入理解</w:t>
            </w:r>
            <w:r>
              <w:rPr>
                <w:rFonts w:ascii="Times New Roman" w:hAnsi="Times New Roman" w:eastAsia="宋体" w:cs="Times New Roman"/>
                <w:sz w:val="18"/>
                <w:szCs w:val="18"/>
              </w:rPr>
              <w:t>三羧酸循环</w:t>
            </w:r>
            <w:r>
              <w:rPr>
                <w:rFonts w:hint="eastAsia" w:ascii="Times New Roman" w:hAnsi="Times New Roman" w:eastAsia="宋体" w:cs="Times New Roman"/>
                <w:sz w:val="18"/>
                <w:szCs w:val="18"/>
              </w:rPr>
              <w:t>在代谢方面的重要意义</w:t>
            </w:r>
          </w:p>
          <w:p>
            <w:pPr>
              <w:spacing w:line="400" w:lineRule="exact"/>
              <w:rPr>
                <w:rFonts w:ascii="Times New Roman" w:hAnsi="Times New Roman"/>
                <w:b/>
                <w:bCs/>
                <w:sz w:val="18"/>
                <w:szCs w:val="18"/>
              </w:rPr>
            </w:pPr>
            <w:r>
              <w:rPr>
                <w:rFonts w:hint="eastAsia" w:ascii="Times New Roman" w:hAnsi="Times New Roman" w:eastAsia="宋体" w:cs="Times New Roman"/>
                <w:sz w:val="18"/>
                <w:szCs w:val="18"/>
              </w:rPr>
              <w:t>课后：【扩展阅读】通过阅读相关文献，理解</w:t>
            </w:r>
            <w:r>
              <w:rPr>
                <w:rFonts w:ascii="Times New Roman" w:hAnsi="Times New Roman" w:eastAsia="宋体" w:cs="Times New Roman"/>
                <w:sz w:val="18"/>
                <w:szCs w:val="18"/>
              </w:rPr>
              <w:t>三羧酸循环</w:t>
            </w:r>
            <w:r>
              <w:rPr>
                <w:rFonts w:hint="eastAsia" w:ascii="Times New Roman" w:hAnsi="Times New Roman" w:eastAsia="宋体" w:cs="Times New Roman"/>
                <w:sz w:val="18"/>
                <w:szCs w:val="18"/>
              </w:rPr>
              <w:t>在分解代谢中的核心地位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73" w:type="pct"/>
            <w:vMerge w:val="continue"/>
            <w:tcBorders>
              <w:left w:val="single" w:color="auto" w:sz="4" w:space="0"/>
              <w:bottom w:val="single" w:color="auto" w:sz="4" w:space="0"/>
              <w:right w:val="single" w:color="auto" w:sz="4" w:space="0"/>
            </w:tcBorders>
          </w:tcPr>
          <w:p>
            <w:pPr>
              <w:spacing w:line="400" w:lineRule="exact"/>
              <w:rPr>
                <w:rFonts w:ascii="Times New Roman" w:hAnsi="Times New Roman"/>
                <w:b/>
                <w:bCs/>
                <w:sz w:val="18"/>
                <w:szCs w:val="18"/>
              </w:rPr>
            </w:pPr>
          </w:p>
        </w:tc>
        <w:tc>
          <w:tcPr>
            <w:tcW w:w="689" w:type="pct"/>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宋体" w:cs="Times New Roman"/>
                <w:sz w:val="18"/>
                <w:szCs w:val="18"/>
              </w:rPr>
            </w:pPr>
            <w:r>
              <w:rPr>
                <w:rFonts w:ascii="Times New Roman" w:hAnsi="Times New Roman" w:eastAsia="宋体" w:cs="Times New Roman"/>
                <w:sz w:val="18"/>
                <w:szCs w:val="18"/>
              </w:rPr>
              <w:t>知识</w:t>
            </w:r>
            <w:r>
              <w:rPr>
                <w:rFonts w:hint="eastAsia" w:ascii="Times New Roman" w:hAnsi="Times New Roman" w:eastAsia="宋体" w:cs="Times New Roman"/>
                <w:sz w:val="18"/>
                <w:szCs w:val="18"/>
              </w:rPr>
              <w:t>点2</w:t>
            </w:r>
            <w:r>
              <w:rPr>
                <w:rFonts w:ascii="Times New Roman" w:hAnsi="Times New Roman" w:eastAsia="宋体" w:cs="Times New Roman"/>
                <w:sz w:val="18"/>
                <w:szCs w:val="18"/>
              </w:rPr>
              <w:t>：</w:t>
            </w:r>
          </w:p>
          <w:p>
            <w:pPr>
              <w:spacing w:line="400" w:lineRule="exact"/>
              <w:rPr>
                <w:rFonts w:ascii="Times New Roman" w:hAnsi="Times New Roman" w:eastAsia="宋体" w:cs="Times New Roman"/>
                <w:sz w:val="18"/>
                <w:szCs w:val="18"/>
              </w:rPr>
            </w:pPr>
            <w:r>
              <w:rPr>
                <w:rFonts w:ascii="Times New Roman" w:hAnsi="Times New Roman" w:eastAsia="宋体" w:cs="Times New Roman"/>
                <w:sz w:val="18"/>
                <w:szCs w:val="18"/>
              </w:rPr>
              <w:t>三羧酸循环</w:t>
            </w:r>
            <w:r>
              <w:rPr>
                <w:rFonts w:hint="eastAsia" w:ascii="Times New Roman" w:hAnsi="Times New Roman" w:eastAsia="宋体" w:cs="Times New Roman"/>
                <w:sz w:val="18"/>
                <w:szCs w:val="18"/>
              </w:rPr>
              <w:t>的反应过程</w:t>
            </w:r>
          </w:p>
        </w:tc>
        <w:tc>
          <w:tcPr>
            <w:tcW w:w="1378" w:type="pct"/>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宋体" w:cs="Times New Roman"/>
                <w:sz w:val="18"/>
                <w:szCs w:val="18"/>
              </w:rPr>
            </w:pPr>
            <w:r>
              <w:rPr>
                <w:rFonts w:ascii="Times New Roman" w:hAnsi="Times New Roman" w:eastAsia="宋体" w:cs="Times New Roman"/>
                <w:sz w:val="18"/>
                <w:szCs w:val="18"/>
              </w:rPr>
              <w:t>【</w:t>
            </w:r>
            <w:r>
              <w:rPr>
                <w:rFonts w:hint="eastAsia" w:ascii="Times New Roman" w:hAnsi="Times New Roman" w:eastAsia="宋体" w:cs="Times New Roman"/>
                <w:sz w:val="18"/>
                <w:szCs w:val="18"/>
              </w:rPr>
              <w:t>视频</w:t>
            </w:r>
            <w:r>
              <w:rPr>
                <w:rFonts w:ascii="Times New Roman" w:hAnsi="Times New Roman" w:eastAsia="宋体" w:cs="Times New Roman"/>
                <w:sz w:val="18"/>
                <w:szCs w:val="18"/>
              </w:rPr>
              <w:t>】三羧酸循环</w:t>
            </w:r>
            <w:r>
              <w:rPr>
                <w:rFonts w:hint="eastAsia" w:ascii="Times New Roman" w:hAnsi="Times New Roman" w:eastAsia="宋体" w:cs="Times New Roman"/>
                <w:sz w:val="18"/>
                <w:szCs w:val="18"/>
              </w:rPr>
              <w:t>的整个代谢过程，包括物质的生成及能量的变化</w:t>
            </w:r>
          </w:p>
          <w:p>
            <w:pPr>
              <w:spacing w:line="400" w:lineRule="exact"/>
              <w:rPr>
                <w:rFonts w:ascii="Times New Roman" w:hAnsi="Times New Roman"/>
                <w:b/>
                <w:bCs/>
                <w:sz w:val="18"/>
                <w:szCs w:val="18"/>
              </w:rPr>
            </w:pPr>
            <w:r>
              <w:rPr>
                <w:rFonts w:ascii="Times New Roman" w:hAnsi="Times New Roman" w:eastAsia="宋体" w:cs="Times New Roman"/>
                <w:sz w:val="18"/>
                <w:szCs w:val="18"/>
              </w:rPr>
              <w:t>【</w:t>
            </w:r>
            <w:r>
              <w:rPr>
                <w:rFonts w:hint="eastAsia" w:ascii="Times New Roman" w:hAnsi="Times New Roman" w:eastAsia="宋体" w:cs="Times New Roman"/>
                <w:sz w:val="18"/>
                <w:szCs w:val="18"/>
              </w:rPr>
              <w:t>PPT</w:t>
            </w:r>
            <w:r>
              <w:rPr>
                <w:rFonts w:ascii="Times New Roman" w:hAnsi="Times New Roman" w:eastAsia="宋体" w:cs="Times New Roman"/>
                <w:sz w:val="18"/>
                <w:szCs w:val="18"/>
              </w:rPr>
              <w:t>】</w:t>
            </w:r>
            <w:r>
              <w:rPr>
                <w:rFonts w:hint="eastAsia" w:ascii="Times New Roman" w:hAnsi="Times New Roman" w:eastAsia="宋体" w:cs="Times New Roman"/>
                <w:sz w:val="18"/>
                <w:szCs w:val="18"/>
              </w:rPr>
              <w:t>拆解</w:t>
            </w:r>
            <w:r>
              <w:rPr>
                <w:rFonts w:ascii="Times New Roman" w:hAnsi="Times New Roman" w:eastAsia="宋体" w:cs="Times New Roman"/>
                <w:sz w:val="18"/>
                <w:szCs w:val="18"/>
              </w:rPr>
              <w:t>三羧酸循环</w:t>
            </w:r>
            <w:r>
              <w:rPr>
                <w:rFonts w:hint="eastAsia" w:ascii="Times New Roman" w:hAnsi="Times New Roman" w:eastAsia="宋体" w:cs="Times New Roman"/>
                <w:sz w:val="18"/>
                <w:szCs w:val="18"/>
              </w:rPr>
              <w:t>的每步反应，包括催化的酶及反应过程的能量变化</w:t>
            </w:r>
          </w:p>
        </w:tc>
        <w:tc>
          <w:tcPr>
            <w:tcW w:w="2160" w:type="pct"/>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课前：学生自行预习视频及课件</w:t>
            </w:r>
          </w:p>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课中1：【课前小测</w:t>
            </w:r>
            <w:r>
              <w:rPr>
                <w:rFonts w:ascii="Times New Roman" w:hAnsi="Times New Roman" w:eastAsia="宋体" w:cs="Times New Roman"/>
                <w:sz w:val="18"/>
                <w:szCs w:val="18"/>
              </w:rPr>
              <w:t>】线上</w:t>
            </w:r>
            <w:r>
              <w:rPr>
                <w:rFonts w:hint="eastAsia" w:ascii="Times New Roman" w:hAnsi="Times New Roman" w:eastAsia="宋体" w:cs="Times New Roman"/>
                <w:sz w:val="18"/>
                <w:szCs w:val="18"/>
              </w:rPr>
              <w:t>检</w:t>
            </w:r>
            <w:r>
              <w:rPr>
                <w:rFonts w:ascii="Times New Roman" w:hAnsi="Times New Roman" w:eastAsia="宋体" w:cs="Times New Roman"/>
                <w:sz w:val="18"/>
                <w:szCs w:val="18"/>
              </w:rPr>
              <w:t>测</w:t>
            </w:r>
            <w:r>
              <w:rPr>
                <w:rFonts w:hint="eastAsia" w:ascii="Times New Roman" w:hAnsi="Times New Roman" w:eastAsia="宋体" w:cs="Times New Roman"/>
                <w:sz w:val="18"/>
                <w:szCs w:val="18"/>
              </w:rPr>
              <w:t>学生预习情况，包括</w:t>
            </w:r>
            <w:r>
              <w:rPr>
                <w:rFonts w:ascii="Times New Roman" w:hAnsi="Times New Roman" w:eastAsia="宋体" w:cs="Times New Roman"/>
                <w:sz w:val="18"/>
                <w:szCs w:val="18"/>
              </w:rPr>
              <w:t>三羧酸循环</w:t>
            </w:r>
            <w:r>
              <w:rPr>
                <w:rFonts w:hint="eastAsia" w:ascii="Times New Roman" w:hAnsi="Times New Roman" w:eastAsia="宋体" w:cs="Times New Roman"/>
                <w:sz w:val="18"/>
                <w:szCs w:val="18"/>
              </w:rPr>
              <w:t>反应分为几个阶段，以及每个阶段物质的特点</w:t>
            </w:r>
          </w:p>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课中2：【讲授】讲解课程重点、难点，深入理</w:t>
            </w:r>
            <w:r>
              <w:rPr>
                <w:rFonts w:ascii="Times New Roman" w:hAnsi="Times New Roman" w:eastAsia="宋体" w:cs="Times New Roman"/>
                <w:sz w:val="18"/>
                <w:szCs w:val="18"/>
              </w:rPr>
              <w:t>三羧酸循环</w:t>
            </w:r>
            <w:r>
              <w:rPr>
                <w:rFonts w:hint="eastAsia" w:ascii="Times New Roman" w:hAnsi="Times New Roman" w:eastAsia="宋体" w:cs="Times New Roman"/>
                <w:sz w:val="18"/>
                <w:szCs w:val="18"/>
              </w:rPr>
              <w:t>的代谢过程，明确每步反应物质的变化及能量的生成</w:t>
            </w:r>
          </w:p>
          <w:p>
            <w:pPr>
              <w:spacing w:line="400" w:lineRule="exact"/>
              <w:rPr>
                <w:rFonts w:ascii="Times New Roman" w:hAnsi="Times New Roman"/>
                <w:b/>
                <w:bCs/>
                <w:sz w:val="18"/>
                <w:szCs w:val="18"/>
              </w:rPr>
            </w:pPr>
            <w:r>
              <w:rPr>
                <w:rFonts w:hint="eastAsia" w:ascii="Times New Roman" w:hAnsi="Times New Roman" w:eastAsia="宋体" w:cs="Times New Roman"/>
                <w:sz w:val="18"/>
                <w:szCs w:val="18"/>
              </w:rPr>
              <w:t>课后：【课后作业】乙酰辅酶A完全氧化能产生多少分子ATP？1分子葡萄糖完全氧化能产生多少分子ATP？</w:t>
            </w:r>
          </w:p>
        </w:tc>
      </w:tr>
    </w:tbl>
    <w:p>
      <w:pPr>
        <w:spacing w:line="400" w:lineRule="exact"/>
        <w:ind w:firstLine="420" w:firstLineChars="200"/>
        <w:jc w:val="left"/>
        <w:rPr>
          <w:rFonts w:ascii="Times New Roman" w:hAnsi="Times New Roman" w:cs="Times New Roman"/>
          <w:b/>
          <w:szCs w:val="21"/>
        </w:rPr>
      </w:pPr>
      <w:r>
        <w:rPr>
          <w:rFonts w:ascii="Times New Roman" w:hAnsi="Times New Roman" w:cs="Times New Roman"/>
          <w:b/>
          <w:szCs w:val="21"/>
        </w:rPr>
        <w:t>（</w:t>
      </w:r>
      <w:r>
        <w:rPr>
          <w:rFonts w:hint="eastAsia" w:ascii="Times New Roman" w:hAnsi="Times New Roman" w:cs="Times New Roman"/>
          <w:b/>
          <w:szCs w:val="21"/>
        </w:rPr>
        <w:t>四）食品生物化学</w:t>
      </w:r>
      <w:r>
        <w:rPr>
          <w:rFonts w:ascii="Times New Roman" w:hAnsi="Times New Roman" w:cs="Times New Roman"/>
          <w:b/>
          <w:szCs w:val="21"/>
        </w:rPr>
        <w:t>课程考核方式设计</w:t>
      </w:r>
    </w:p>
    <w:p>
      <w:pPr>
        <w:spacing w:line="400" w:lineRule="exact"/>
        <w:ind w:firstLine="420" w:firstLineChars="200"/>
        <w:rPr>
          <w:rFonts w:ascii="Times New Roman" w:hAnsi="Times New Roman" w:eastAsia="宋体" w:cs="Times New Roman"/>
        </w:rPr>
      </w:pPr>
      <w:r>
        <w:rPr>
          <w:rFonts w:hint="eastAsia" w:ascii="Times New Roman" w:hAnsi="Times New Roman" w:eastAsia="宋体" w:cs="Times New Roman"/>
        </w:rPr>
        <w:t>食品生物化学</w:t>
      </w:r>
      <w:r>
        <w:rPr>
          <w:rFonts w:ascii="Times New Roman" w:hAnsi="Times New Roman" w:eastAsia="宋体" w:cs="Times New Roman"/>
        </w:rPr>
        <w:t>课程成绩（100%）=平时（20%）+</w:t>
      </w:r>
      <w:r>
        <w:rPr>
          <w:rFonts w:hint="eastAsia" w:ascii="Times New Roman" w:hAnsi="Times New Roman" w:eastAsia="宋体" w:cs="Times New Roman"/>
        </w:rPr>
        <w:t>阶段性考核</w:t>
      </w:r>
      <w:r>
        <w:rPr>
          <w:rFonts w:ascii="Times New Roman" w:hAnsi="Times New Roman" w:eastAsia="宋体" w:cs="Times New Roman"/>
        </w:rPr>
        <w:t>（30%）+期末（50%），其中期末</w:t>
      </w:r>
      <w:r>
        <w:rPr>
          <w:rFonts w:hint="eastAsia" w:ascii="Times New Roman" w:hAnsi="Times New Roman" w:eastAsia="宋体" w:cs="Times New Roman"/>
        </w:rPr>
        <w:t>采用闭卷</w:t>
      </w:r>
      <w:r>
        <w:rPr>
          <w:rFonts w:ascii="Times New Roman" w:hAnsi="Times New Roman" w:eastAsia="宋体" w:cs="Times New Roman"/>
        </w:rPr>
        <w:t>考试</w:t>
      </w:r>
      <w:r>
        <w:rPr>
          <w:rFonts w:hint="eastAsia" w:ascii="Times New Roman" w:hAnsi="Times New Roman" w:eastAsia="宋体" w:cs="Times New Roman"/>
        </w:rPr>
        <w:t>的</w:t>
      </w:r>
      <w:r>
        <w:rPr>
          <w:rFonts w:ascii="Times New Roman" w:hAnsi="Times New Roman" w:eastAsia="宋体" w:cs="Times New Roman"/>
        </w:rPr>
        <w:t>形式，</w:t>
      </w:r>
      <w:r>
        <w:rPr>
          <w:rFonts w:hint="eastAsia" w:ascii="Times New Roman" w:hAnsi="Times New Roman" w:eastAsia="宋体" w:cs="Times New Roman"/>
        </w:rPr>
        <w:t>考核学生对课程重点知识的掌握情况；阶段性考核则采用绘制思维导图和三大物质综合代谢图的形式进行，强调各部分知识的融会贯通，阶段性考核 采用线上提交形式，并设置所有同学都能互相参考、借鉴，帮助学生构建食品生物化学相对完整的知识体系；平时成绩则</w:t>
      </w:r>
      <w:r>
        <w:rPr>
          <w:rFonts w:ascii="Times New Roman" w:hAnsi="Times New Roman" w:eastAsia="宋体" w:cs="Times New Roman"/>
        </w:rPr>
        <w:t>充分体现混合式教学</w:t>
      </w:r>
      <w:r>
        <w:rPr>
          <w:rFonts w:hint="eastAsia" w:ascii="Times New Roman" w:hAnsi="Times New Roman" w:eastAsia="宋体" w:cs="Times New Roman"/>
        </w:rPr>
        <w:t>的</w:t>
      </w:r>
      <w:r>
        <w:rPr>
          <w:rFonts w:ascii="Times New Roman" w:hAnsi="Times New Roman" w:eastAsia="宋体" w:cs="Times New Roman"/>
        </w:rPr>
        <w:t>特点，</w:t>
      </w:r>
      <w:r>
        <w:rPr>
          <w:rFonts w:hint="eastAsia" w:ascii="Times New Roman" w:hAnsi="Times New Roman" w:eastAsia="宋体" w:cs="Times New Roman"/>
        </w:rPr>
        <w:t>参考学生线上、线下两方面的表现来给定成绩，其中线上部分包括学生登陆次数、在线学习时长、学习各教学资源次数及时长、参与话题讨论次数、随堂测试成绩、扩展内容学习情况等；线下部分则主要包括课程出勤情况、课堂听课及回答问题表现、实验课实操情况等。总体而言，课题成绩的给定更注重对学生的过程性考核，注重对学生综合素质的考核。</w:t>
      </w:r>
    </w:p>
    <w:p>
      <w:pPr>
        <w:spacing w:line="400" w:lineRule="exact"/>
        <w:ind w:firstLine="420" w:firstLineChars="200"/>
        <w:jc w:val="left"/>
        <w:rPr>
          <w:rFonts w:ascii="Times New Roman" w:hAnsi="Times New Roman" w:cs="Times New Roman"/>
          <w:b/>
          <w:szCs w:val="21"/>
        </w:rPr>
      </w:pPr>
      <w:r>
        <w:rPr>
          <w:rFonts w:hint="eastAsia" w:ascii="Times New Roman" w:hAnsi="Times New Roman" w:cs="Times New Roman"/>
          <w:b/>
          <w:szCs w:val="21"/>
        </w:rPr>
        <w:t>三、食品生物化学课程</w:t>
      </w:r>
      <w:r>
        <w:rPr>
          <w:rFonts w:ascii="Times New Roman" w:hAnsi="Times New Roman" w:cs="Times New Roman"/>
          <w:b/>
          <w:szCs w:val="21"/>
        </w:rPr>
        <w:t>混合式教学</w:t>
      </w:r>
      <w:r>
        <w:rPr>
          <w:rFonts w:hint="eastAsia" w:ascii="Times New Roman" w:hAnsi="Times New Roman" w:cs="Times New Roman"/>
          <w:b/>
          <w:szCs w:val="21"/>
        </w:rPr>
        <w:t>的</w:t>
      </w:r>
      <w:r>
        <w:rPr>
          <w:rFonts w:ascii="Times New Roman" w:hAnsi="Times New Roman" w:cs="Times New Roman"/>
          <w:b/>
          <w:szCs w:val="21"/>
        </w:rPr>
        <w:t>实施效果分析</w:t>
      </w:r>
    </w:p>
    <w:p>
      <w:pPr>
        <w:spacing w:line="400" w:lineRule="exact"/>
        <w:ind w:firstLine="412" w:firstLineChars="196"/>
        <w:jc w:val="left"/>
        <w:rPr>
          <w:rFonts w:ascii="Times New Roman" w:hAnsi="Times New Roman" w:cs="Times New Roman"/>
          <w:b/>
          <w:szCs w:val="21"/>
        </w:rPr>
      </w:pPr>
      <w:r>
        <w:rPr>
          <w:rFonts w:ascii="Times New Roman" w:hAnsi="Times New Roman" w:cs="Times New Roman"/>
          <w:b/>
          <w:szCs w:val="21"/>
        </w:rPr>
        <w:t>（</w:t>
      </w:r>
      <w:r>
        <w:rPr>
          <w:rFonts w:hint="eastAsia" w:ascii="Times New Roman" w:hAnsi="Times New Roman" w:cs="Times New Roman"/>
          <w:b/>
          <w:szCs w:val="21"/>
        </w:rPr>
        <w:t>一）</w:t>
      </w:r>
      <w:r>
        <w:rPr>
          <w:rFonts w:ascii="Times New Roman" w:hAnsi="Times New Roman" w:cs="Times New Roman"/>
          <w:b/>
          <w:szCs w:val="21"/>
        </w:rPr>
        <w:t>学生线上学习情况</w:t>
      </w:r>
      <w:r>
        <w:rPr>
          <w:rFonts w:hint="eastAsia" w:ascii="Times New Roman" w:hAnsi="Times New Roman" w:cs="Times New Roman"/>
          <w:b/>
          <w:szCs w:val="21"/>
        </w:rPr>
        <w:t>与成绩相关性分析</w:t>
      </w:r>
    </w:p>
    <w:p>
      <w:pPr>
        <w:spacing w:line="400" w:lineRule="exact"/>
        <w:ind w:firstLine="420" w:firstLineChars="200"/>
        <w:rPr>
          <w:rFonts w:ascii="Times New Roman" w:hAnsi="Times New Roman" w:eastAsia="宋体" w:cs="Times New Roman"/>
        </w:rPr>
      </w:pPr>
      <w:r>
        <w:rPr>
          <w:rFonts w:ascii="Times New Roman" w:hAnsi="Times New Roman" w:eastAsia="宋体" w:cs="Times New Roman"/>
        </w:rPr>
        <w:drawing>
          <wp:anchor distT="0" distB="0" distL="114300" distR="114300" simplePos="0" relativeHeight="251660288" behindDoc="0" locked="0" layoutInCell="1" allowOverlap="1">
            <wp:simplePos x="0" y="0"/>
            <wp:positionH relativeFrom="margin">
              <wp:posOffset>225425</wp:posOffset>
            </wp:positionH>
            <wp:positionV relativeFrom="paragraph">
              <wp:posOffset>873125</wp:posOffset>
            </wp:positionV>
            <wp:extent cx="2409190" cy="2261870"/>
            <wp:effectExtent l="0" t="0" r="10160" b="5080"/>
            <wp:wrapTopAndBottom/>
            <wp:docPr id="1" name="图片 1" descr="C:\Users\57640\AppData\Local\Temp\1599316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57640\AppData\Local\Temp\159931617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09190" cy="2261870"/>
                    </a:xfrm>
                    <a:prstGeom prst="rect">
                      <a:avLst/>
                    </a:prstGeom>
                    <a:noFill/>
                    <a:ln>
                      <a:noFill/>
                    </a:ln>
                  </pic:spPr>
                </pic:pic>
              </a:graphicData>
            </a:graphic>
          </wp:anchor>
        </w:drawing>
      </w:r>
      <w:r>
        <w:rPr>
          <w:rFonts w:hint="eastAsia" w:ascii="Times New Roman" w:hAnsi="Times New Roman" w:eastAsia="宋体" w:cs="Times New Roman"/>
        </w:rPr>
        <w:t>以食品质量与安全专业2018级本科生班做为混合式教学改革试点班级，该班学生素质相对较高，班级学习气氛较好，有很好的学习热情且配合度高。</w:t>
      </w:r>
    </w:p>
    <w:p>
      <w:pPr>
        <w:spacing w:line="400" w:lineRule="exact"/>
        <w:ind w:firstLine="420" w:firstLineChars="200"/>
        <w:rPr>
          <w:rFonts w:ascii="Times New Roman" w:hAnsi="Times New Roman" w:eastAsia="宋体" w:cs="Times New Roman"/>
        </w:rPr>
      </w:pPr>
      <w:r>
        <w:rPr>
          <w:rFonts w:ascii="Times New Roman" w:hAnsi="Times New Roman" w:eastAsia="宋体" w:cs="Times New Roman"/>
        </w:rPr>
        <w:drawing>
          <wp:anchor distT="0" distB="0" distL="114300" distR="114300" simplePos="0" relativeHeight="251662336" behindDoc="0" locked="0" layoutInCell="1" allowOverlap="1">
            <wp:simplePos x="0" y="0"/>
            <wp:positionH relativeFrom="column">
              <wp:posOffset>2722245</wp:posOffset>
            </wp:positionH>
            <wp:positionV relativeFrom="paragraph">
              <wp:posOffset>221615</wp:posOffset>
            </wp:positionV>
            <wp:extent cx="2574925" cy="2207260"/>
            <wp:effectExtent l="0" t="0" r="15875" b="2540"/>
            <wp:wrapTopAndBottom/>
            <wp:docPr id="11" name="图片 11" descr="C:\Users\57640\AppData\Local\Temp\1599317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57640\AppData\Local\Temp\1599317278.png"/>
                    <pic:cNvPicPr>
                      <a:picLocks noChangeAspect="1" noChangeArrowheads="1"/>
                    </pic:cNvPicPr>
                  </pic:nvPicPr>
                  <pic:blipFill>
                    <a:blip r:embed="rId7">
                      <a:extLst>
                        <a:ext uri="{28A0092B-C50C-407E-A947-70E740481C1C}">
                          <a14:useLocalDpi xmlns:a14="http://schemas.microsoft.com/office/drawing/2010/main" val="0"/>
                        </a:ext>
                      </a:extLst>
                    </a:blip>
                    <a:srcRect r="3798" b="8036"/>
                    <a:stretch>
                      <a:fillRect/>
                    </a:stretch>
                  </pic:blipFill>
                  <pic:spPr>
                    <a:xfrm>
                      <a:off x="0" y="0"/>
                      <a:ext cx="2574925" cy="2207260"/>
                    </a:xfrm>
                    <a:prstGeom prst="rect">
                      <a:avLst/>
                    </a:prstGeom>
                    <a:noFill/>
                    <a:ln>
                      <a:noFill/>
                    </a:ln>
                  </pic:spPr>
                </pic:pic>
              </a:graphicData>
            </a:graphic>
          </wp:anchor>
        </w:drawing>
      </w:r>
    </w:p>
    <w:p>
      <w:pPr>
        <w:spacing w:line="400" w:lineRule="exact"/>
        <w:ind w:firstLine="630" w:firstLineChars="300"/>
        <w:jc w:val="both"/>
        <w:rPr>
          <w:rFonts w:ascii="Times New Roman" w:hAnsi="Times New Roman" w:eastAsia="宋体" w:cs="Times New Roman"/>
        </w:rPr>
      </w:pPr>
      <w:r>
        <w:rPr>
          <w:rFonts w:hint="eastAsia" w:ascii="Times New Roman" w:hAnsi="Times New Roman" w:eastAsia="宋体" w:cs="Times New Roman"/>
        </w:rPr>
        <w:t>图2</w:t>
      </w:r>
      <w:r>
        <w:rPr>
          <w:rFonts w:ascii="Times New Roman" w:hAnsi="Times New Roman" w:eastAsia="宋体" w:cs="Times New Roman"/>
        </w:rPr>
        <w:t xml:space="preserve"> </w:t>
      </w:r>
      <w:r>
        <w:rPr>
          <w:rFonts w:hint="eastAsia" w:ascii="Times New Roman" w:hAnsi="Times New Roman" w:eastAsia="宋体" w:cs="Times New Roman"/>
        </w:rPr>
        <w:t>学生进入课程次数与成绩的相关性</w:t>
      </w: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rPr>
        <w:t>图3</w:t>
      </w:r>
      <w:r>
        <w:rPr>
          <w:rFonts w:ascii="Times New Roman" w:hAnsi="Times New Roman" w:eastAsia="宋体" w:cs="Times New Roman"/>
        </w:rPr>
        <w:t xml:space="preserve"> </w:t>
      </w:r>
      <w:r>
        <w:rPr>
          <w:rFonts w:hint="eastAsia" w:ascii="Times New Roman" w:hAnsi="Times New Roman" w:eastAsia="宋体" w:cs="Times New Roman"/>
        </w:rPr>
        <w:t>在线时长与成线的相关性</w:t>
      </w:r>
    </w:p>
    <w:p>
      <w:pPr>
        <w:spacing w:line="400" w:lineRule="exact"/>
        <w:ind w:firstLine="420" w:firstLineChars="200"/>
        <w:rPr>
          <w:rFonts w:ascii="Times New Roman" w:hAnsi="Times New Roman" w:eastAsia="宋体" w:cs="Times New Roman"/>
        </w:rPr>
      </w:pPr>
      <w:r>
        <w:rPr>
          <w:rFonts w:hint="eastAsia" w:ascii="Times New Roman" w:hAnsi="Times New Roman" w:eastAsia="宋体" w:cs="Times New Roman"/>
        </w:rPr>
        <w:t>从图2可以看出，该班所有学生均参与线上资源的学习，但进入学习次数差异显著，次数以35-55区间内为最多，且进入课程次数与成绩呈一定的相关性，尤其是最为集中的进入课程40-60次区间段，进入课程次数与学生成绩之间呈明显相关，说明线上资源无论课前预习还是课后复习，都很有效地提升了学生的学习效果，起到了混合式教学改革的作用。</w:t>
      </w:r>
    </w:p>
    <w:p>
      <w:pPr>
        <w:spacing w:line="400" w:lineRule="exact"/>
        <w:jc w:val="center"/>
        <w:rPr>
          <w:rFonts w:ascii="Times New Roman" w:hAnsi="Times New Roman" w:eastAsia="宋体" w:cs="Times New Roman"/>
        </w:rPr>
      </w:pPr>
      <w:r>
        <w:rPr>
          <w:rFonts w:ascii="Times New Roman" w:hAnsi="Times New Roman" w:eastAsia="宋体" w:cs="Times New Roman"/>
        </w:rPr>
        <w:drawing>
          <wp:anchor distT="0" distB="0" distL="114300" distR="114300" simplePos="0" relativeHeight="251661312" behindDoc="0" locked="0" layoutInCell="1" allowOverlap="1">
            <wp:simplePos x="0" y="0"/>
            <wp:positionH relativeFrom="margin">
              <wp:posOffset>904875</wp:posOffset>
            </wp:positionH>
            <wp:positionV relativeFrom="paragraph">
              <wp:posOffset>174625</wp:posOffset>
            </wp:positionV>
            <wp:extent cx="3023870" cy="2055495"/>
            <wp:effectExtent l="0" t="0" r="5080" b="1905"/>
            <wp:wrapTopAndBottom/>
            <wp:docPr id="13" name="图片 13" descr="C:\Users\57640\AppData\Local\Temp\15993174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57640\AppData\Local\Temp\1599317447(1).png"/>
                    <pic:cNvPicPr>
                      <a:picLocks noChangeAspect="1" noChangeArrowheads="1"/>
                    </pic:cNvPicPr>
                  </pic:nvPicPr>
                  <pic:blipFill>
                    <a:blip r:embed="rId8">
                      <a:extLst>
                        <a:ext uri="{28A0092B-C50C-407E-A947-70E740481C1C}">
                          <a14:useLocalDpi xmlns:a14="http://schemas.microsoft.com/office/drawing/2010/main" val="0"/>
                        </a:ext>
                      </a:extLst>
                    </a:blip>
                    <a:srcRect l="7721" t="7393" r="4555"/>
                    <a:stretch>
                      <a:fillRect/>
                    </a:stretch>
                  </pic:blipFill>
                  <pic:spPr>
                    <a:xfrm>
                      <a:off x="0" y="0"/>
                      <a:ext cx="3024000" cy="2055600"/>
                    </a:xfrm>
                    <a:prstGeom prst="rect">
                      <a:avLst/>
                    </a:prstGeom>
                    <a:noFill/>
                    <a:ln>
                      <a:noFill/>
                    </a:ln>
                  </pic:spPr>
                </pic:pic>
              </a:graphicData>
            </a:graphic>
          </wp:anchor>
        </w:drawing>
      </w:r>
      <w:r>
        <w:rPr>
          <w:rFonts w:hint="eastAsia" w:ascii="Times New Roman" w:hAnsi="Times New Roman" w:eastAsia="宋体" w:cs="Times New Roman"/>
        </w:rPr>
        <w:t>图4</w:t>
      </w:r>
      <w:r>
        <w:rPr>
          <w:rFonts w:ascii="Times New Roman" w:hAnsi="Times New Roman" w:eastAsia="宋体" w:cs="Times New Roman"/>
        </w:rPr>
        <w:t xml:space="preserve"> </w:t>
      </w:r>
      <w:r>
        <w:rPr>
          <w:rFonts w:hint="eastAsia" w:ascii="Times New Roman" w:hAnsi="Times New Roman" w:eastAsia="宋体" w:cs="Times New Roman"/>
        </w:rPr>
        <w:t>在线时长（去掉200分钟以上点）与成线的相关性</w:t>
      </w:r>
    </w:p>
    <w:p>
      <w:pPr>
        <w:spacing w:line="400" w:lineRule="exact"/>
        <w:ind w:firstLine="420" w:firstLineChars="200"/>
        <w:rPr>
          <w:rFonts w:ascii="Times New Roman" w:hAnsi="Times New Roman" w:eastAsia="宋体" w:cs="Times New Roman"/>
        </w:rPr>
      </w:pPr>
      <w:r>
        <w:rPr>
          <w:rFonts w:hint="eastAsia" w:ascii="Times New Roman" w:hAnsi="Times New Roman" w:eastAsia="宋体" w:cs="Times New Roman"/>
        </w:rPr>
        <w:t>如图3所示，学生在线时长与成绩之间无相关性，为使数据统计更加科学，将在线时长200分种以上点（有挂机的可能）剔除重新做图，结果如图5所示，学生在线时长与成绩两间相关性依然不明显，分析原因，所有的在线资源均为可下载资源，因此在线时间短也可能是学习将相关资料下载学习，因此在线时间并不能作为学生是否积极主动参与线上资源学习的依据，相比而言，学生进入课程次数是作为学生线上学习情况更为合理的指标。</w:t>
      </w:r>
    </w:p>
    <w:p>
      <w:pPr>
        <w:spacing w:line="400" w:lineRule="exact"/>
        <w:ind w:firstLine="420" w:firstLineChars="200"/>
        <w:jc w:val="left"/>
        <w:rPr>
          <w:rFonts w:ascii="Times New Roman" w:hAnsi="Times New Roman" w:cs="Times New Roman"/>
          <w:b/>
          <w:szCs w:val="21"/>
        </w:rPr>
      </w:pPr>
      <w:r>
        <w:rPr>
          <w:rFonts w:ascii="Times New Roman" w:hAnsi="Times New Roman" w:cs="Times New Roman"/>
          <w:b/>
          <w:szCs w:val="21"/>
        </w:rPr>
        <w:t>（</w:t>
      </w:r>
      <w:r>
        <w:rPr>
          <w:rFonts w:hint="eastAsia" w:ascii="Times New Roman" w:hAnsi="Times New Roman" w:cs="Times New Roman"/>
          <w:b/>
          <w:szCs w:val="21"/>
        </w:rPr>
        <w:t>二）</w:t>
      </w:r>
      <w:r>
        <w:rPr>
          <w:rFonts w:ascii="Times New Roman" w:hAnsi="Times New Roman" w:cs="Times New Roman"/>
          <w:b/>
          <w:szCs w:val="21"/>
        </w:rPr>
        <w:t>学生满意度问卷调查</w:t>
      </w:r>
    </w:p>
    <w:p>
      <w:pPr>
        <w:spacing w:line="400" w:lineRule="exact"/>
        <w:ind w:firstLine="420" w:firstLineChars="200"/>
        <w:rPr>
          <w:rFonts w:ascii="Times New Roman" w:hAnsi="Times New Roman" w:eastAsia="宋体" w:cs="Times New Roman"/>
        </w:rPr>
      </w:pPr>
      <w:r>
        <w:rPr>
          <w:rFonts w:hint="eastAsia" w:ascii="Times New Roman" w:hAnsi="Times New Roman" w:eastAsia="宋体" w:cs="Times New Roman"/>
        </w:rPr>
        <w:t>为更好地掌握学生对于混合式教学的认可度，教研室于学期末对该</w:t>
      </w:r>
      <w:r>
        <w:rPr>
          <w:rFonts w:ascii="Times New Roman" w:hAnsi="Times New Roman" w:eastAsia="宋体" w:cs="Times New Roman"/>
        </w:rPr>
        <w:t>班级进行课程问卷调查。调查结果表明，学生对混合式教学评价为“满意”和“非常满意”的占比</w:t>
      </w:r>
      <w:r>
        <w:rPr>
          <w:rFonts w:hint="eastAsia" w:ascii="Times New Roman" w:hAnsi="Times New Roman" w:eastAsia="宋体" w:cs="Times New Roman"/>
        </w:rPr>
        <w:t>达</w:t>
      </w:r>
      <w:r>
        <w:rPr>
          <w:rFonts w:ascii="Times New Roman" w:hAnsi="Times New Roman" w:eastAsia="宋体" w:cs="Times New Roman"/>
        </w:rPr>
        <w:t>85%，</w:t>
      </w:r>
      <w:r>
        <w:rPr>
          <w:rFonts w:hint="eastAsia" w:ascii="Times New Roman" w:hAnsi="Times New Roman" w:eastAsia="宋体" w:cs="Times New Roman"/>
        </w:rPr>
        <w:t>评价为“一般”的占比为14%，</w:t>
      </w:r>
      <w:r>
        <w:rPr>
          <w:rFonts w:ascii="Times New Roman" w:hAnsi="Times New Roman" w:eastAsia="宋体" w:cs="Times New Roman"/>
        </w:rPr>
        <w:t>“不满意”</w:t>
      </w:r>
      <w:r>
        <w:rPr>
          <w:rFonts w:hint="eastAsia" w:ascii="Times New Roman" w:hAnsi="Times New Roman" w:eastAsia="宋体" w:cs="Times New Roman"/>
        </w:rPr>
        <w:t>和</w:t>
      </w:r>
      <w:r>
        <w:rPr>
          <w:rFonts w:ascii="Times New Roman" w:hAnsi="Times New Roman" w:eastAsia="宋体" w:cs="Times New Roman"/>
        </w:rPr>
        <w:t>“非常不满意”的占比</w:t>
      </w:r>
      <w:r>
        <w:rPr>
          <w:rFonts w:hint="eastAsia" w:ascii="Times New Roman" w:hAnsi="Times New Roman" w:eastAsia="宋体" w:cs="Times New Roman"/>
        </w:rPr>
        <w:t>仅为</w:t>
      </w:r>
      <w:r>
        <w:rPr>
          <w:rFonts w:ascii="Times New Roman" w:hAnsi="Times New Roman" w:eastAsia="宋体" w:cs="Times New Roman"/>
        </w:rPr>
        <w:t>1%。同时，93%的学生认为自己</w:t>
      </w:r>
      <w:r>
        <w:rPr>
          <w:rFonts w:hint="eastAsia" w:ascii="Times New Roman" w:hAnsi="Times New Roman" w:eastAsia="宋体" w:cs="Times New Roman"/>
        </w:rPr>
        <w:t>养成了课前预习的主动学习学惯，学习能力得以</w:t>
      </w:r>
      <w:r>
        <w:rPr>
          <w:rFonts w:ascii="Times New Roman" w:hAnsi="Times New Roman" w:eastAsia="宋体" w:cs="Times New Roman"/>
        </w:rPr>
        <w:t>锻炼和提高，</w:t>
      </w:r>
      <w:r>
        <w:rPr>
          <w:rFonts w:hint="eastAsia" w:ascii="Times New Roman" w:hAnsi="Times New Roman" w:eastAsia="宋体" w:cs="Times New Roman"/>
        </w:rPr>
        <w:t>起到混合式教学改革预期的教学效果。</w:t>
      </w:r>
    </w:p>
    <w:p>
      <w:pPr>
        <w:spacing w:line="400" w:lineRule="exact"/>
        <w:ind w:firstLine="420"/>
        <w:jc w:val="left"/>
        <w:rPr>
          <w:rFonts w:ascii="Times New Roman" w:hAnsi="Times New Roman" w:cs="Times New Roman"/>
          <w:b/>
          <w:sz w:val="24"/>
          <w:szCs w:val="24"/>
        </w:rPr>
      </w:pPr>
      <w:r>
        <w:rPr>
          <w:rFonts w:hint="eastAsia" w:ascii="Times New Roman" w:hAnsi="Times New Roman" w:cs="Times New Roman"/>
          <w:b/>
          <w:sz w:val="24"/>
          <w:szCs w:val="24"/>
        </w:rPr>
        <w:t>结语</w:t>
      </w:r>
    </w:p>
    <w:p>
      <w:pPr>
        <w:spacing w:line="400" w:lineRule="exact"/>
        <w:ind w:firstLine="420" w:firstLineChars="200"/>
        <w:rPr>
          <w:rFonts w:ascii="Times New Roman" w:hAnsi="Times New Roman" w:eastAsia="宋体" w:cs="Times New Roman"/>
        </w:rPr>
      </w:pPr>
      <w:r>
        <w:rPr>
          <w:rFonts w:hint="eastAsia" w:ascii="Times New Roman" w:hAnsi="Times New Roman" w:eastAsia="宋体" w:cs="Times New Roman"/>
        </w:rPr>
        <w:t>随着信息技术的发展以及应用的普及，混合式教学是适应社会发展的教学改革方法，也更适应于现代青年学生的学习需求。混合式教学中，教师方通过课前教学资源及学习任务的发布、课中重点传授及学习讨论、课后线下测试及答疑解惑，完成线上线下完整的教学活动；学生方通过课前预习、课中学习讨论及课后复习扩展三个环节，完成每个单位学习的全过程，自主学习与协作教学是互为依托，在教师的引导下开发学生的自主学习能力，</w:t>
      </w:r>
      <w:r>
        <w:rPr>
          <w:rFonts w:ascii="Times New Roman" w:hAnsi="Times New Roman" w:eastAsia="宋体" w:cs="Times New Roman"/>
        </w:rPr>
        <w:t>重视学生认知过程的个性化差异</w:t>
      </w:r>
      <w:r>
        <w:rPr>
          <w:rFonts w:hint="eastAsia" w:ascii="Times New Roman" w:hAnsi="Times New Roman" w:eastAsia="宋体" w:cs="Times New Roman"/>
        </w:rPr>
        <w:t>，从而实现教与学的有机统一。教学实践也证明，该教学方式有效地提高了学生成绩，促进了学生良好学习习惯的养成，既有助于提高课程的学习效果，也有助于学生综合素质的提升。</w:t>
      </w:r>
    </w:p>
    <w:p>
      <w:pPr>
        <w:spacing w:line="400" w:lineRule="exact"/>
        <w:ind w:firstLine="482" w:firstLineChars="200"/>
        <w:rPr>
          <w:rFonts w:ascii="Times New Roman" w:hAnsi="Times New Roman" w:eastAsia="宋体" w:cs="Arial"/>
          <w:b/>
          <w:bCs/>
          <w:color w:val="000000"/>
          <w:kern w:val="0"/>
          <w:sz w:val="24"/>
          <w:szCs w:val="24"/>
        </w:rPr>
      </w:pPr>
      <w:r>
        <w:rPr>
          <w:rFonts w:hint="eastAsia" w:ascii="Times New Roman" w:hAnsi="Times New Roman" w:eastAsia="宋体" w:cs="Arial"/>
          <w:b/>
          <w:bCs/>
          <w:color w:val="000000"/>
          <w:kern w:val="0"/>
          <w:sz w:val="24"/>
          <w:szCs w:val="24"/>
        </w:rPr>
        <w:t>参考文献</w:t>
      </w:r>
    </w:p>
    <w:p>
      <w:pPr>
        <w:spacing w:line="400" w:lineRule="exact"/>
        <w:ind w:left="420" w:hanging="420" w:hangingChars="200"/>
        <w:rPr>
          <w:rFonts w:ascii="Times New Roman" w:hAnsi="Times New Roman" w:eastAsia="宋体" w:cs="Times New Roman"/>
        </w:rPr>
      </w:pPr>
      <w:r>
        <w:rPr>
          <w:rFonts w:ascii="Times New Roman" w:hAnsi="Times New Roman" w:eastAsia="宋体" w:cs="Times New Roman"/>
        </w:rPr>
        <w:t xml:space="preserve">[1] 王应红. </w:t>
      </w:r>
      <w:r>
        <w:rPr>
          <w:rFonts w:hint="eastAsia" w:ascii="Times New Roman" w:hAnsi="Times New Roman" w:eastAsia="宋体" w:cs="Times New Roman"/>
        </w:rPr>
        <w:t>“</w:t>
      </w:r>
      <w:r>
        <w:rPr>
          <w:rFonts w:ascii="Times New Roman" w:hAnsi="Times New Roman" w:eastAsia="宋体" w:cs="Times New Roman"/>
        </w:rPr>
        <w:t>生物化学</w:t>
      </w:r>
      <w:r>
        <w:rPr>
          <w:rFonts w:hint="eastAsia" w:ascii="Times New Roman" w:hAnsi="Times New Roman" w:eastAsia="宋体" w:cs="Times New Roman"/>
        </w:rPr>
        <w:t>”</w:t>
      </w:r>
      <w:r>
        <w:rPr>
          <w:rFonts w:ascii="Times New Roman" w:hAnsi="Times New Roman" w:eastAsia="宋体" w:cs="Times New Roman"/>
        </w:rPr>
        <w:t>网络课程的结构与功能探讨[J]. 涪陵师范学院学报, 2003, 19(05): 84-87.</w:t>
      </w:r>
    </w:p>
    <w:p>
      <w:pPr>
        <w:spacing w:line="400" w:lineRule="exact"/>
        <w:ind w:left="420" w:hanging="420" w:hangingChars="200"/>
        <w:rPr>
          <w:rFonts w:ascii="Times New Roman" w:hAnsi="Times New Roman" w:eastAsia="宋体" w:cs="Times New Roman"/>
        </w:rPr>
      </w:pPr>
      <w:r>
        <w:rPr>
          <w:rFonts w:ascii="Times New Roman" w:hAnsi="Times New Roman" w:eastAsia="宋体" w:cs="Times New Roman"/>
        </w:rPr>
        <w:t>[2] 张</w:t>
      </w:r>
      <w:r>
        <w:rPr>
          <w:rFonts w:hint="eastAsia" w:ascii="Times New Roman" w:hAnsi="Times New Roman" w:eastAsia="宋体" w:cs="Times New Roman"/>
        </w:rPr>
        <w:t>涛</w:t>
      </w:r>
      <w:r>
        <w:rPr>
          <w:rFonts w:ascii="Times New Roman" w:hAnsi="Times New Roman" w:eastAsia="宋体" w:cs="Times New Roman"/>
        </w:rPr>
        <w:t>.</w:t>
      </w:r>
      <w:r>
        <w:rPr>
          <w:rFonts w:hint="eastAsia" w:ascii="Times New Roman" w:hAnsi="Times New Roman" w:eastAsia="宋体" w:cs="Times New Roman"/>
        </w:rPr>
        <w:t>高等师范院校生物化学课程教学改革实践</w:t>
      </w:r>
      <w:r>
        <w:rPr>
          <w:rFonts w:ascii="Times New Roman" w:hAnsi="Times New Roman" w:eastAsia="宋体" w:cs="Times New Roman"/>
        </w:rPr>
        <w:t xml:space="preserve"> [J]. </w:t>
      </w:r>
      <w:r>
        <w:rPr>
          <w:rFonts w:hint="eastAsia" w:ascii="Times New Roman" w:hAnsi="Times New Roman" w:eastAsia="宋体" w:cs="Times New Roman"/>
        </w:rPr>
        <w:t>沈阳农业大学学报</w:t>
      </w:r>
      <w:r>
        <w:rPr>
          <w:rFonts w:hint="eastAsia" w:ascii="Times New Roman" w:hAnsi="Times New Roman" w:eastAsia="宋体" w:cs="Times New Roman"/>
          <w:lang w:eastAsia="zh-CN"/>
        </w:rPr>
        <w:t>：</w:t>
      </w:r>
      <w:r>
        <w:rPr>
          <w:rFonts w:hint="eastAsia" w:ascii="Times New Roman" w:hAnsi="Times New Roman" w:eastAsia="宋体" w:cs="Times New Roman"/>
        </w:rPr>
        <w:t>社会科学版</w:t>
      </w:r>
      <w:bookmarkStart w:id="0" w:name="_GoBack"/>
      <w:bookmarkEnd w:id="0"/>
      <w:r>
        <w:rPr>
          <w:rFonts w:ascii="Times New Roman" w:hAnsi="Times New Roman" w:eastAsia="宋体" w:cs="Times New Roman"/>
        </w:rPr>
        <w:t>, 2013, 15(03): 341-344.</w:t>
      </w:r>
    </w:p>
    <w:p>
      <w:pPr>
        <w:spacing w:line="400" w:lineRule="exact"/>
        <w:ind w:left="420" w:hanging="420" w:hangingChars="20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刘伟才</w:t>
      </w:r>
      <w:r>
        <w:rPr>
          <w:rFonts w:ascii="Times New Roman" w:hAnsi="Times New Roman" w:eastAsia="宋体" w:cs="Times New Roman"/>
        </w:rPr>
        <w:t xml:space="preserve">. </w:t>
      </w:r>
      <w:r>
        <w:rPr>
          <w:rFonts w:hint="eastAsia" w:ascii="Times New Roman" w:hAnsi="Times New Roman" w:eastAsia="宋体" w:cs="Times New Roman"/>
        </w:rPr>
        <w:t>信息化教学中课堂教学方式的改革——以生物化学课程为例</w:t>
      </w:r>
      <w:r>
        <w:rPr>
          <w:rFonts w:ascii="Times New Roman" w:hAnsi="Times New Roman" w:eastAsia="宋体" w:cs="Times New Roman"/>
        </w:rPr>
        <w:t xml:space="preserve">[J]. </w:t>
      </w:r>
      <w:r>
        <w:rPr>
          <w:rFonts w:hint="eastAsia" w:ascii="Times New Roman" w:hAnsi="Times New Roman" w:eastAsia="宋体" w:cs="Times New Roman"/>
        </w:rPr>
        <w:t>教育观察</w:t>
      </w:r>
      <w:r>
        <w:rPr>
          <w:rFonts w:ascii="Times New Roman" w:hAnsi="Times New Roman" w:eastAsia="宋体" w:cs="Times New Roman"/>
        </w:rPr>
        <w:t>, 2016, 5(19): 85-86</w:t>
      </w:r>
      <w:r>
        <w:rPr>
          <w:rFonts w:hint="eastAsia" w:ascii="Times New Roman" w:hAnsi="Times New Roman" w:eastAsia="宋体" w:cs="Times New Roman"/>
        </w:rPr>
        <w:t>.</w:t>
      </w:r>
    </w:p>
    <w:p>
      <w:pPr>
        <w:spacing w:line="400" w:lineRule="exact"/>
        <w:ind w:left="420" w:hanging="420" w:hangingChars="200"/>
        <w:rPr>
          <w:rFonts w:ascii="Times New Roman" w:hAnsi="Times New Roman" w:eastAsia="宋体" w:cs="Times New Roman"/>
        </w:rPr>
      </w:pPr>
      <w:r>
        <w:rPr>
          <w:rFonts w:ascii="Times New Roman" w:hAnsi="Times New Roman" w:eastAsia="宋体" w:cs="Times New Roman"/>
        </w:rPr>
        <w:t xml:space="preserve">[4] </w:t>
      </w:r>
      <w:r>
        <w:rPr>
          <w:rFonts w:hint="eastAsia" w:ascii="Times New Roman" w:hAnsi="Times New Roman" w:eastAsia="宋体" w:cs="Times New Roman"/>
        </w:rPr>
        <w:t>赵婷</w:t>
      </w:r>
      <w:r>
        <w:rPr>
          <w:rFonts w:ascii="Times New Roman" w:hAnsi="Times New Roman" w:eastAsia="宋体" w:cs="Times New Roman"/>
        </w:rPr>
        <w:t xml:space="preserve">. </w:t>
      </w:r>
      <w:r>
        <w:rPr>
          <w:rFonts w:hint="eastAsia" w:ascii="Times New Roman" w:hAnsi="Times New Roman" w:eastAsia="宋体" w:cs="Times New Roman"/>
        </w:rPr>
        <w:t>基于蓝墨云班平台生物化学课程的教学探讨</w:t>
      </w:r>
      <w:r>
        <w:rPr>
          <w:rFonts w:ascii="Times New Roman" w:hAnsi="Times New Roman" w:eastAsia="宋体" w:cs="Times New Roman"/>
        </w:rPr>
        <w:t xml:space="preserve">[[J]. </w:t>
      </w:r>
      <w:r>
        <w:rPr>
          <w:rFonts w:hint="eastAsia" w:ascii="Times New Roman" w:hAnsi="Times New Roman" w:eastAsia="宋体" w:cs="Times New Roman"/>
        </w:rPr>
        <w:t>继续医学教育</w:t>
      </w:r>
      <w:r>
        <w:rPr>
          <w:rFonts w:ascii="Times New Roman" w:hAnsi="Times New Roman" w:eastAsia="宋体" w:cs="Times New Roman"/>
        </w:rPr>
        <w:t>, 2018, (05): 53-54.</w:t>
      </w:r>
    </w:p>
    <w:p>
      <w:pPr>
        <w:spacing w:line="400" w:lineRule="exact"/>
        <w:ind w:left="420" w:hanging="420" w:hangingChars="200"/>
        <w:rPr>
          <w:rFonts w:ascii="Times New Roman" w:hAnsi="Times New Roman" w:eastAsia="宋体" w:cs="Times New Roman"/>
        </w:rPr>
      </w:pPr>
      <w:r>
        <w:rPr>
          <w:rFonts w:ascii="Times New Roman" w:hAnsi="Times New Roman" w:eastAsia="宋体" w:cs="Times New Roman"/>
        </w:rPr>
        <w:t xml:space="preserve">[5] </w:t>
      </w:r>
      <w:r>
        <w:rPr>
          <w:rFonts w:hint="eastAsia" w:ascii="Times New Roman" w:hAnsi="Times New Roman" w:eastAsia="宋体" w:cs="Times New Roman"/>
        </w:rPr>
        <w:t>周大祥</w:t>
      </w:r>
      <w:r>
        <w:rPr>
          <w:rFonts w:ascii="Times New Roman" w:hAnsi="Times New Roman" w:eastAsia="宋体" w:cs="Times New Roman"/>
        </w:rPr>
        <w:t xml:space="preserve">, </w:t>
      </w:r>
      <w:r>
        <w:rPr>
          <w:rFonts w:hint="eastAsia" w:ascii="Times New Roman" w:hAnsi="Times New Roman" w:eastAsia="宋体" w:cs="Times New Roman"/>
        </w:rPr>
        <w:t>熊书</w:t>
      </w:r>
      <w:r>
        <w:rPr>
          <w:rFonts w:ascii="Times New Roman" w:hAnsi="Times New Roman" w:eastAsia="宋体" w:cs="Times New Roman"/>
        </w:rPr>
        <w:t xml:space="preserve">, </w:t>
      </w:r>
      <w:r>
        <w:rPr>
          <w:rFonts w:hint="eastAsia" w:ascii="Times New Roman" w:hAnsi="Times New Roman" w:eastAsia="宋体" w:cs="Times New Roman"/>
        </w:rPr>
        <w:t>谢桂香</w:t>
      </w:r>
      <w:r>
        <w:rPr>
          <w:rFonts w:ascii="Times New Roman" w:hAnsi="Times New Roman" w:eastAsia="宋体" w:cs="Times New Roman"/>
        </w:rPr>
        <w:t xml:space="preserve">. </w:t>
      </w:r>
      <w:r>
        <w:rPr>
          <w:rFonts w:hint="eastAsia" w:ascii="Times New Roman" w:hAnsi="Times New Roman" w:eastAsia="宋体" w:cs="Times New Roman"/>
        </w:rPr>
        <w:t>基于云班课的混合式教学设计在生物化学教中的应用</w:t>
      </w:r>
      <w:r>
        <w:rPr>
          <w:rFonts w:ascii="Times New Roman" w:hAnsi="Times New Roman" w:eastAsia="宋体" w:cs="Times New Roman"/>
        </w:rPr>
        <w:t xml:space="preserve">[J]. </w:t>
      </w:r>
      <w:r>
        <w:rPr>
          <w:rFonts w:hint="eastAsia" w:ascii="Times New Roman" w:hAnsi="Times New Roman" w:eastAsia="宋体" w:cs="Times New Roman"/>
        </w:rPr>
        <w:t>教育现代化</w:t>
      </w:r>
      <w:r>
        <w:rPr>
          <w:rFonts w:ascii="Times New Roman" w:hAnsi="Times New Roman" w:eastAsia="宋体" w:cs="Times New Roman"/>
        </w:rPr>
        <w:t>, 2018, (26): 159-161.</w:t>
      </w:r>
    </w:p>
    <w:p>
      <w:pPr>
        <w:spacing w:line="400" w:lineRule="exact"/>
        <w:ind w:left="420" w:hanging="420" w:hangingChars="200"/>
        <w:rPr>
          <w:rFonts w:ascii="Times New Roman" w:hAnsi="Times New Roman" w:eastAsia="宋体" w:cs="Times New Roman"/>
        </w:rPr>
      </w:pPr>
      <w:r>
        <w:rPr>
          <w:rFonts w:ascii="Times New Roman" w:hAnsi="Times New Roman" w:eastAsia="宋体" w:cs="Times New Roman"/>
        </w:rPr>
        <w:t xml:space="preserve">[6] </w:t>
      </w:r>
      <w:r>
        <w:rPr>
          <w:rFonts w:hint="eastAsia" w:ascii="Times New Roman" w:hAnsi="Times New Roman" w:eastAsia="宋体" w:cs="Times New Roman"/>
        </w:rPr>
        <w:t>丁海麦</w:t>
      </w:r>
      <w:r>
        <w:rPr>
          <w:rFonts w:ascii="Times New Roman" w:hAnsi="Times New Roman" w:eastAsia="宋体" w:cs="Times New Roman"/>
        </w:rPr>
        <w:t xml:space="preserve">, </w:t>
      </w:r>
      <w:r>
        <w:rPr>
          <w:rFonts w:hint="eastAsia" w:ascii="Times New Roman" w:hAnsi="Times New Roman" w:eastAsia="宋体" w:cs="Times New Roman"/>
        </w:rPr>
        <w:t>李斌</w:t>
      </w:r>
      <w:r>
        <w:rPr>
          <w:rFonts w:ascii="Times New Roman" w:hAnsi="Times New Roman" w:eastAsia="宋体" w:cs="Times New Roman"/>
        </w:rPr>
        <w:t xml:space="preserve">, </w:t>
      </w:r>
      <w:r>
        <w:rPr>
          <w:rFonts w:hint="eastAsia" w:ascii="Times New Roman" w:hAnsi="Times New Roman" w:eastAsia="宋体" w:cs="Times New Roman"/>
        </w:rPr>
        <w:t>张学明</w:t>
      </w:r>
      <w:r>
        <w:rPr>
          <w:rFonts w:ascii="Times New Roman" w:hAnsi="Times New Roman" w:eastAsia="宋体" w:cs="Times New Roman"/>
        </w:rPr>
        <w:t xml:space="preserve">. </w:t>
      </w:r>
      <w:r>
        <w:rPr>
          <w:rFonts w:hint="eastAsia" w:ascii="Times New Roman" w:hAnsi="Times New Roman" w:eastAsia="宋体" w:cs="Times New Roman"/>
        </w:rPr>
        <w:t>信息化在医学生物化学与分子生物学实验技术教学中的应用</w:t>
      </w:r>
      <w:r>
        <w:rPr>
          <w:rFonts w:ascii="Times New Roman" w:hAnsi="Times New Roman" w:eastAsia="宋体" w:cs="Times New Roman"/>
        </w:rPr>
        <w:t xml:space="preserve">[J]. </w:t>
      </w:r>
      <w:r>
        <w:rPr>
          <w:rFonts w:hint="eastAsia" w:ascii="Times New Roman" w:hAnsi="Times New Roman" w:eastAsia="宋体" w:cs="Times New Roman"/>
        </w:rPr>
        <w:t>高校医学教学研究（电子版）</w:t>
      </w:r>
      <w:r>
        <w:rPr>
          <w:rFonts w:ascii="Times New Roman" w:hAnsi="Times New Roman" w:eastAsia="宋体" w:cs="Times New Roman"/>
        </w:rPr>
        <w:t>, 2016, (04): 46-48.</w:t>
      </w:r>
    </w:p>
    <w:p>
      <w:pPr>
        <w:spacing w:line="400" w:lineRule="exact"/>
        <w:jc w:val="center"/>
        <w:rPr>
          <w:rFonts w:ascii="Times New Roman" w:hAnsi="Times New Roman" w:eastAsia="黑体" w:cs="Times New Roman"/>
          <w:sz w:val="32"/>
          <w:szCs w:val="32"/>
        </w:rPr>
      </w:pPr>
    </w:p>
    <w:p>
      <w:pPr>
        <w:spacing w:line="380" w:lineRule="atLeast"/>
        <w:jc w:val="both"/>
        <w:rPr>
          <w:rFonts w:ascii="Times New Roman" w:hAnsi="Times New Roman"/>
          <w:kern w:val="0"/>
          <w:szCs w:val="21"/>
        </w:rPr>
      </w:pPr>
    </w:p>
    <w:p>
      <w:pPr>
        <w:spacing w:line="380" w:lineRule="atLeast"/>
        <w:jc w:val="center"/>
        <w:rPr>
          <w:rFonts w:ascii="Times New Roman" w:hAnsi="Times New Roman"/>
          <w:kern w:val="0"/>
          <w:szCs w:val="21"/>
        </w:rPr>
      </w:pPr>
      <w:r>
        <w:rPr>
          <w:rFonts w:hint="eastAsia" w:ascii="Times New Roman" w:hAnsi="Times New Roman"/>
          <w:kern w:val="0"/>
          <w:szCs w:val="21"/>
        </w:rPr>
        <w:t>P</w:t>
      </w:r>
      <w:r>
        <w:rPr>
          <w:rFonts w:ascii="Times New Roman" w:hAnsi="Times New Roman"/>
          <w:kern w:val="0"/>
          <w:szCs w:val="21"/>
        </w:rPr>
        <w:t xml:space="preserve">ractice and Exploration of Mixed Teaching Reform in </w:t>
      </w:r>
      <w:r>
        <w:fldChar w:fldCharType="begin"/>
      </w:r>
      <w:r>
        <w:instrText xml:space="preserve"> HYPERLINK "http://dict.cnki.net/dict_result.aspx?scw=%e9%a3%9f%e5%93%81%e7%94%9f%e7%89%a9%e5%8c%96%e5%ad%a6&amp;tjType=sentence&amp;style=&amp;t=food+biochemistry" </w:instrText>
      </w:r>
      <w:r>
        <w:fldChar w:fldCharType="separate"/>
      </w:r>
      <w:r>
        <w:rPr>
          <w:rFonts w:ascii="Times New Roman" w:hAnsi="Times New Roman"/>
          <w:kern w:val="0"/>
          <w:szCs w:val="21"/>
        </w:rPr>
        <w:t>Food Biochemistry</w:t>
      </w:r>
      <w:r>
        <w:rPr>
          <w:rFonts w:ascii="Times New Roman" w:hAnsi="Times New Roman"/>
          <w:kern w:val="0"/>
          <w:szCs w:val="21"/>
        </w:rPr>
        <w:fldChar w:fldCharType="end"/>
      </w:r>
      <w:r>
        <w:rPr>
          <w:rFonts w:ascii="Times New Roman" w:hAnsi="Times New Roman"/>
          <w:kern w:val="0"/>
          <w:szCs w:val="21"/>
        </w:rPr>
        <w:t xml:space="preserve"> Course</w:t>
      </w:r>
    </w:p>
    <w:p>
      <w:pPr>
        <w:spacing w:line="380" w:lineRule="atLeast"/>
        <w:jc w:val="center"/>
        <w:rPr>
          <w:rFonts w:ascii="Times New Roman" w:hAnsi="Times New Roman"/>
          <w:kern w:val="0"/>
          <w:szCs w:val="21"/>
        </w:rPr>
      </w:pPr>
      <w:r>
        <w:rPr>
          <w:rFonts w:ascii="Times New Roman" w:hAnsi="Times New Roman"/>
          <w:kern w:val="0"/>
          <w:szCs w:val="21"/>
        </w:rPr>
        <w:t>TIAN</w:t>
      </w:r>
      <w:r>
        <w:rPr>
          <w:rFonts w:hint="eastAsia" w:ascii="Times New Roman" w:hAnsi="Times New Roman"/>
          <w:kern w:val="0"/>
          <w:szCs w:val="21"/>
        </w:rPr>
        <w:t xml:space="preserve"> </w:t>
      </w:r>
      <w:r>
        <w:rPr>
          <w:rFonts w:ascii="Times New Roman" w:hAnsi="Times New Roman"/>
          <w:kern w:val="0"/>
          <w:szCs w:val="21"/>
        </w:rPr>
        <w:t>Rongrong, HE Xianjun, LIU Yang</w:t>
      </w:r>
    </w:p>
    <w:p>
      <w:pPr>
        <w:spacing w:line="380" w:lineRule="atLeast"/>
        <w:jc w:val="center"/>
        <w:rPr>
          <w:rFonts w:ascii="Times New Roman" w:hAnsi="Times New Roman"/>
          <w:kern w:val="0"/>
          <w:szCs w:val="21"/>
        </w:rPr>
      </w:pPr>
      <w:r>
        <w:rPr>
          <w:rFonts w:ascii="Times New Roman" w:hAnsi="Times New Roman"/>
          <w:kern w:val="0"/>
          <w:szCs w:val="21"/>
        </w:rPr>
        <w:t>(School of Biomedicine, Beijing City University, Beijing 100094, China)</w:t>
      </w:r>
    </w:p>
    <w:p>
      <w:pPr>
        <w:spacing w:line="400" w:lineRule="exact"/>
        <w:ind w:firstLine="420" w:firstLineChars="200"/>
        <w:rPr>
          <w:rFonts w:ascii="Times New Roman" w:hAnsi="Times New Roman"/>
          <w:szCs w:val="21"/>
        </w:rPr>
      </w:pPr>
      <w:r>
        <w:rPr>
          <w:rFonts w:ascii="Times New Roman" w:hAnsi="Times New Roman"/>
          <w:b/>
          <w:bCs/>
          <w:szCs w:val="21"/>
        </w:rPr>
        <w:t>Abstract</w:t>
      </w:r>
      <w:r>
        <w:rPr>
          <w:rFonts w:hint="eastAsia" w:ascii="Times New Roman" w:hAnsi="Times New Roman"/>
          <w:szCs w:val="21"/>
        </w:rPr>
        <w:t>:</w:t>
      </w:r>
      <w:r>
        <w:rPr>
          <w:rFonts w:ascii="Times New Roman" w:hAnsi="Times New Roman"/>
          <w:szCs w:val="21"/>
        </w:rPr>
        <w:t xml:space="preserve"> Food biochemistry is a compulsory course for food-related majors. It is also recognized as a difficult course for students to learn and teachers to teach. In order to better achieve the teaching objectives of the course within the limited class hours, based on the platform of Youmu Class, the online and offline mixed teaching reform is explored. The three plates, including preparation before the class, intensive lecture and question answering in the class as well as review and expansion after the class, are connected with each other to fully mobilize students’ learning enthusiasm and improve their learning efficiency. Teaching practice showed that this teaching method has improved students’ academic performance and helped students develop good learning habits, which will provide a good reference for similar courses.</w:t>
      </w:r>
    </w:p>
    <w:p>
      <w:pPr>
        <w:spacing w:line="400" w:lineRule="exact"/>
        <w:rPr>
          <w:rFonts w:ascii="Times New Roman" w:hAnsi="Times New Roman" w:cs="Times New Roman" w:eastAsiaTheme="majorEastAsia"/>
          <w:szCs w:val="21"/>
        </w:rPr>
      </w:pPr>
      <w:r>
        <w:rPr>
          <w:rFonts w:ascii="Times New Roman" w:hAnsi="Times New Roman"/>
          <w:b/>
          <w:bCs/>
          <w:szCs w:val="21"/>
        </w:rPr>
        <w:t xml:space="preserve">Key words: </w:t>
      </w:r>
      <w:r>
        <w:rPr>
          <w:rFonts w:ascii="Times New Roman" w:hAnsi="Times New Roman"/>
          <w:szCs w:val="21"/>
        </w:rPr>
        <w:t>food biochemistry</w:t>
      </w:r>
      <w:r>
        <w:rPr>
          <w:rFonts w:ascii="Times New Roman" w:hAnsi="Times New Roman" w:cs="Times New Roman" w:eastAsiaTheme="majorEastAsia"/>
          <w:szCs w:val="21"/>
        </w:rPr>
        <w:t>; online; offline;</w:t>
      </w:r>
      <w:r>
        <w:rPr>
          <w:rFonts w:ascii="Times New Roman" w:hAnsi="Times New Roman"/>
          <w:kern w:val="0"/>
          <w:szCs w:val="21"/>
        </w:rPr>
        <w:t xml:space="preserve"> mixed</w:t>
      </w:r>
      <w:r>
        <w:rPr>
          <w:rFonts w:ascii="Times New Roman" w:hAnsi="Times New Roman" w:cs="Times New Roman" w:eastAsiaTheme="majorEastAsia"/>
          <w:szCs w:val="21"/>
        </w:rPr>
        <w:t xml:space="preserve"> teaching</w:t>
      </w:r>
    </w:p>
    <w:p>
      <w:pPr>
        <w:spacing w:line="400" w:lineRule="exact"/>
        <w:ind w:firstLine="420" w:firstLineChars="200"/>
        <w:rPr>
          <w:rFonts w:hint="eastAsia" w:ascii="Times New Roman" w:hAnsi="Times New Roman" w:eastAsia="宋体" w:cs="Times New Roman"/>
          <w:lang w:eastAsia="zh-CN"/>
        </w:rPr>
      </w:pP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责任编辑：侯净雯</w:t>
      </w:r>
      <w:r>
        <w:rPr>
          <w:rFonts w:hint="eastAsia" w:ascii="Times New Roman" w:hAnsi="Times New Roman" w:eastAsia="宋体" w:cs="Times New Roman"/>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LSJ0+ZBBMyu-1">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 w:name="E-BZ+ZBBMyv-2">
    <w:altName w:val="Cambria"/>
    <w:panose1 w:val="00000000000000000000"/>
    <w:charset w:val="00"/>
    <w:family w:val="roman"/>
    <w:pitch w:val="default"/>
    <w:sig w:usb0="00000000" w:usb1="00000000" w:usb2="00000000" w:usb3="00000000" w:csb0="00000000" w:csb1="00000000"/>
  </w:font>
  <w:font w:name="E-FZ+ZBBMyv-4">
    <w:altName w:val="Cambria"/>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E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widowControl/>
        <w:ind w:left="840" w:hanging="840" w:hangingChars="400"/>
        <w:rPr>
          <w:rFonts w:ascii="Times New Roman" w:hAnsi="Times New Roman" w:eastAsia="宋体" w:cs="Times New Roman"/>
          <w:kern w:val="0"/>
          <w:sz w:val="18"/>
          <w:szCs w:val="18"/>
        </w:rPr>
      </w:pPr>
      <w:r>
        <w:rPr>
          <w:rStyle w:val="13"/>
          <w:rFonts w:ascii="Times New Roman" w:hAnsi="Times New Roman" w:eastAsia="宋体" w:cs="Times New Roman"/>
        </w:rPr>
        <w:footnoteRef/>
      </w:r>
      <w:r>
        <w:rPr>
          <w:rFonts w:ascii="Times New Roman" w:hAnsi="Times New Roman" w:eastAsia="宋体" w:cs="Times New Roman"/>
        </w:rPr>
        <w:t xml:space="preserve"> </w:t>
      </w:r>
      <w:r>
        <w:rPr>
          <w:rFonts w:ascii="Times New Roman" w:hAnsi="Times New Roman" w:eastAsia="宋体" w:cs="Times New Roman"/>
          <w:kern w:val="0"/>
          <w:sz w:val="18"/>
          <w:szCs w:val="18"/>
        </w:rPr>
        <w:t>收稿日期：2020年</w:t>
      </w:r>
      <w:r>
        <w:rPr>
          <w:rFonts w:hint="eastAsia" w:ascii="Times New Roman" w:hAnsi="Times New Roman" w:eastAsia="宋体" w:cs="Times New Roman"/>
          <w:kern w:val="0"/>
          <w:sz w:val="18"/>
          <w:szCs w:val="18"/>
          <w:lang w:val="en-US" w:eastAsia="zh-CN"/>
        </w:rPr>
        <w:t>09</w:t>
      </w:r>
      <w:r>
        <w:rPr>
          <w:rFonts w:ascii="Times New Roman" w:hAnsi="Times New Roman" w:eastAsia="宋体" w:cs="Times New Roman"/>
          <w:kern w:val="0"/>
          <w:sz w:val="18"/>
          <w:szCs w:val="18"/>
        </w:rPr>
        <w:t>月</w:t>
      </w:r>
      <w:r>
        <w:rPr>
          <w:rFonts w:hint="eastAsia" w:ascii="Times New Roman" w:hAnsi="Times New Roman" w:eastAsia="宋体" w:cs="Times New Roman"/>
          <w:kern w:val="0"/>
          <w:sz w:val="18"/>
          <w:szCs w:val="18"/>
          <w:lang w:val="en-US" w:eastAsia="zh-CN"/>
        </w:rPr>
        <w:t>05</w:t>
      </w:r>
      <w:r>
        <w:rPr>
          <w:rFonts w:ascii="Times New Roman" w:hAnsi="Times New Roman" w:eastAsia="宋体" w:cs="Times New Roman"/>
          <w:kern w:val="0"/>
          <w:sz w:val="18"/>
          <w:szCs w:val="18"/>
        </w:rPr>
        <w:t>日</w:t>
      </w:r>
    </w:p>
    <w:p>
      <w:pPr>
        <w:widowControl/>
        <w:ind w:left="1081" w:leftChars="86" w:hanging="900" w:hangingChars="500"/>
        <w:rPr>
          <w:rFonts w:ascii="Times New Roman" w:hAnsi="Times New Roman" w:eastAsia="宋体" w:cs="Times New Roman"/>
          <w:color w:val="000000"/>
          <w:kern w:val="0"/>
          <w:sz w:val="18"/>
          <w:szCs w:val="18"/>
        </w:rPr>
      </w:pPr>
      <w:r>
        <w:rPr>
          <w:rFonts w:ascii="Times New Roman" w:hAnsi="Times New Roman" w:eastAsia="宋体" w:cs="Times New Roman"/>
          <w:kern w:val="0"/>
          <w:sz w:val="18"/>
          <w:szCs w:val="18"/>
        </w:rPr>
        <w:t>作者简介</w:t>
      </w:r>
      <w:r>
        <w:rPr>
          <w:rFonts w:ascii="Times New Roman" w:hAnsi="Times New Roman" w:eastAsia="宋体" w:cs="Times New Roman"/>
          <w:color w:val="000000"/>
          <w:kern w:val="0"/>
          <w:sz w:val="18"/>
          <w:szCs w:val="18"/>
        </w:rPr>
        <w:t>：</w:t>
      </w:r>
      <w:r>
        <w:rPr>
          <w:rFonts w:hint="eastAsia" w:ascii="Times New Roman" w:hAnsi="Times New Roman" w:eastAsia="宋体" w:cs="Times New Roman"/>
          <w:color w:val="000000"/>
          <w:kern w:val="0"/>
          <w:sz w:val="18"/>
          <w:szCs w:val="18"/>
        </w:rPr>
        <w:t>田荣荣</w:t>
      </w:r>
      <w:r>
        <w:rPr>
          <w:rFonts w:ascii="Times New Roman" w:hAnsi="Times New Roman" w:eastAsia="宋体" w:cs="Times New Roman"/>
          <w:color w:val="000000"/>
          <w:kern w:val="0"/>
          <w:sz w:val="18"/>
          <w:szCs w:val="18"/>
        </w:rPr>
        <w:t>（1982-），女，</w:t>
      </w:r>
      <w:r>
        <w:rPr>
          <w:rFonts w:hint="eastAsia" w:ascii="Times New Roman" w:hAnsi="Times New Roman" w:eastAsia="宋体" w:cs="Times New Roman"/>
          <w:color w:val="000000"/>
          <w:kern w:val="0"/>
          <w:sz w:val="18"/>
          <w:szCs w:val="18"/>
        </w:rPr>
        <w:t>山东威海</w:t>
      </w:r>
      <w:r>
        <w:rPr>
          <w:rFonts w:ascii="Times New Roman" w:hAnsi="Times New Roman" w:eastAsia="宋体" w:cs="Times New Roman"/>
          <w:color w:val="000000"/>
          <w:kern w:val="0"/>
          <w:sz w:val="18"/>
          <w:szCs w:val="18"/>
        </w:rPr>
        <w:t>人，</w:t>
      </w:r>
      <w:r>
        <w:rPr>
          <w:rFonts w:hint="eastAsia" w:ascii="Times New Roman" w:hAnsi="Times New Roman" w:eastAsia="宋体" w:cs="Times New Roman"/>
          <w:color w:val="000000"/>
          <w:kern w:val="0"/>
          <w:sz w:val="18"/>
          <w:szCs w:val="18"/>
        </w:rPr>
        <w:t>副教授</w:t>
      </w:r>
      <w:r>
        <w:rPr>
          <w:rFonts w:ascii="Times New Roman" w:hAnsi="Times New Roman" w:eastAsia="宋体" w:cs="Times New Roman"/>
          <w:color w:val="000000"/>
          <w:kern w:val="0"/>
          <w:sz w:val="18"/>
          <w:szCs w:val="18"/>
        </w:rPr>
        <w:t>，博士，</w:t>
      </w:r>
      <w:r>
        <w:rPr>
          <w:rFonts w:hint="eastAsia" w:ascii="Times New Roman" w:hAnsi="Times New Roman" w:eastAsia="宋体" w:cs="Times New Roman"/>
          <w:color w:val="000000"/>
          <w:kern w:val="0"/>
          <w:sz w:val="18"/>
          <w:szCs w:val="18"/>
          <w:lang w:val="en-US" w:eastAsia="zh-CN"/>
        </w:rPr>
        <w:t>主要</w:t>
      </w:r>
      <w:r>
        <w:rPr>
          <w:rFonts w:ascii="Times New Roman" w:hAnsi="Times New Roman" w:eastAsia="宋体" w:cs="Times New Roman"/>
          <w:color w:val="000000"/>
          <w:kern w:val="0"/>
          <w:sz w:val="18"/>
          <w:szCs w:val="18"/>
        </w:rPr>
        <w:t>研究方向：</w:t>
      </w:r>
      <w:r>
        <w:rPr>
          <w:rFonts w:hint="eastAsia" w:ascii="Times New Roman" w:hAnsi="Times New Roman" w:eastAsia="宋体" w:cs="Times New Roman"/>
          <w:color w:val="000000"/>
          <w:kern w:val="0"/>
          <w:sz w:val="18"/>
          <w:szCs w:val="18"/>
        </w:rPr>
        <w:t>食品检测技术；</w:t>
      </w:r>
    </w:p>
    <w:p>
      <w:pPr>
        <w:widowControl/>
        <w:ind w:left="1081" w:leftChars="86" w:hanging="900" w:hangingChars="500"/>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 xml:space="preserve"> </w:t>
      </w:r>
      <w:r>
        <w:rPr>
          <w:rFonts w:ascii="Times New Roman" w:hAnsi="Times New Roman" w:eastAsia="宋体" w:cs="Times New Roman"/>
          <w:color w:val="000000"/>
          <w:kern w:val="0"/>
          <w:sz w:val="18"/>
          <w:szCs w:val="18"/>
        </w:rPr>
        <w:t xml:space="preserve">         </w:t>
      </w:r>
      <w:r>
        <w:rPr>
          <w:rFonts w:hint="eastAsia" w:ascii="Times New Roman" w:hAnsi="Times New Roman" w:eastAsia="宋体" w:cs="Times New Roman"/>
          <w:color w:val="000000"/>
          <w:kern w:val="0"/>
          <w:sz w:val="18"/>
          <w:szCs w:val="18"/>
        </w:rPr>
        <w:t>何献君（1977-），女，辽宁营养人，副教授，博士，</w:t>
      </w:r>
      <w:r>
        <w:rPr>
          <w:rFonts w:hint="eastAsia" w:ascii="Times New Roman" w:hAnsi="Times New Roman" w:eastAsia="宋体" w:cs="Times New Roman"/>
          <w:color w:val="000000"/>
          <w:kern w:val="0"/>
          <w:sz w:val="18"/>
          <w:szCs w:val="18"/>
          <w:lang w:val="en-US" w:eastAsia="zh-CN"/>
        </w:rPr>
        <w:t>主要</w:t>
      </w:r>
      <w:r>
        <w:rPr>
          <w:rFonts w:hint="eastAsia" w:ascii="Times New Roman" w:hAnsi="Times New Roman" w:eastAsia="宋体" w:cs="Times New Roman"/>
          <w:color w:val="000000"/>
          <w:kern w:val="0"/>
          <w:sz w:val="18"/>
          <w:szCs w:val="18"/>
        </w:rPr>
        <w:t>研究方向：生物化学实验</w:t>
      </w:r>
      <w:r>
        <w:rPr>
          <w:rFonts w:ascii="Times New Roman" w:hAnsi="Times New Roman" w:eastAsia="宋体" w:cs="Times New Roman"/>
          <w:color w:val="000000"/>
          <w:kern w:val="0"/>
          <w:sz w:val="18"/>
          <w:szCs w:val="18"/>
        </w:rPr>
        <w:t>。</w:t>
      </w:r>
    </w:p>
    <w:p>
      <w:pPr>
        <w:pStyle w:val="6"/>
        <w:ind w:firstLine="90" w:firstLineChars="50"/>
        <w:rPr>
          <w:rFonts w:ascii="Times New Roman" w:hAnsi="Times New Roman" w:eastAsia="宋体" w:cs="Times New Roman"/>
        </w:rPr>
      </w:pPr>
      <w:r>
        <w:rPr>
          <w:rFonts w:ascii="Times New Roman" w:hAnsi="Times New Roman" w:eastAsia="宋体" w:cs="Times New Roman"/>
          <w:color w:val="000000"/>
          <w:kern w:val="0"/>
        </w:rPr>
        <w:t>基金项目：北京城市学院2018年教育科学研究重点课题，课题编号</w:t>
      </w:r>
      <w:r>
        <w:rPr>
          <w:rFonts w:hint="eastAsia" w:ascii="Times New Roman" w:hAnsi="Times New Roman" w:eastAsia="宋体" w:cs="Times New Roman"/>
          <w:color w:val="000000"/>
          <w:kern w:val="0"/>
          <w:lang w:eastAsia="zh-CN"/>
        </w:rPr>
        <w:t>（</w:t>
      </w:r>
      <w:r>
        <w:rPr>
          <w:rFonts w:hint="eastAsia" w:ascii="Times New Roman" w:hAnsi="Times New Roman" w:eastAsia="宋体" w:cs="Times New Roman"/>
          <w:color w:val="000000"/>
          <w:kern w:val="0"/>
        </w:rPr>
        <w:t>JYB20181208</w:t>
      </w:r>
      <w:r>
        <w:rPr>
          <w:rFonts w:hint="eastAsia" w:ascii="Times New Roman" w:hAnsi="Times New Roman" w:eastAsia="宋体" w:cs="Times New Roman"/>
          <w:color w:val="000000"/>
          <w:kern w:val="0"/>
          <w:lang w:eastAsia="zh-CN"/>
        </w:rPr>
        <w:t>）。</w:t>
      </w:r>
    </w:p>
    <w:p>
      <w:pPr>
        <w:pStyle w:val="6"/>
        <w:rPr>
          <w:rFonts w:ascii="Times New Roman" w:hAnsi="Times New Roman" w:eastAsia="宋体"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741C9C"/>
    <w:multiLevelType w:val="multilevel"/>
    <w:tmpl w:val="00741C9C"/>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0"/>
  <w:drawingGridVerticalSpacing w:val="156"/>
  <w:noPunctuationKerning w:val="1"/>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C6A"/>
    <w:rsid w:val="000110FE"/>
    <w:rsid w:val="00017956"/>
    <w:rsid w:val="00032E95"/>
    <w:rsid w:val="00037639"/>
    <w:rsid w:val="00041EDF"/>
    <w:rsid w:val="00047A59"/>
    <w:rsid w:val="00057693"/>
    <w:rsid w:val="00085CA5"/>
    <w:rsid w:val="000C34E1"/>
    <w:rsid w:val="000C722E"/>
    <w:rsid w:val="000D0642"/>
    <w:rsid w:val="000E1D4A"/>
    <w:rsid w:val="000F36C8"/>
    <w:rsid w:val="0010349A"/>
    <w:rsid w:val="001114FE"/>
    <w:rsid w:val="00120849"/>
    <w:rsid w:val="00124DE8"/>
    <w:rsid w:val="00144AA6"/>
    <w:rsid w:val="001536F1"/>
    <w:rsid w:val="0016167D"/>
    <w:rsid w:val="001666E6"/>
    <w:rsid w:val="0019221C"/>
    <w:rsid w:val="00197A18"/>
    <w:rsid w:val="001A3971"/>
    <w:rsid w:val="001B2506"/>
    <w:rsid w:val="001B7FBE"/>
    <w:rsid w:val="001D12B3"/>
    <w:rsid w:val="00233EAB"/>
    <w:rsid w:val="002435CA"/>
    <w:rsid w:val="00244463"/>
    <w:rsid w:val="002847A8"/>
    <w:rsid w:val="00286728"/>
    <w:rsid w:val="00297E34"/>
    <w:rsid w:val="002B29DE"/>
    <w:rsid w:val="002C17DF"/>
    <w:rsid w:val="002C7B46"/>
    <w:rsid w:val="002D3B70"/>
    <w:rsid w:val="002E4087"/>
    <w:rsid w:val="002E7DB7"/>
    <w:rsid w:val="002F1D88"/>
    <w:rsid w:val="002F76AD"/>
    <w:rsid w:val="00305A81"/>
    <w:rsid w:val="00335B20"/>
    <w:rsid w:val="003405A2"/>
    <w:rsid w:val="00360529"/>
    <w:rsid w:val="00376317"/>
    <w:rsid w:val="003817C9"/>
    <w:rsid w:val="00397F70"/>
    <w:rsid w:val="003B18D4"/>
    <w:rsid w:val="003B550A"/>
    <w:rsid w:val="003C427C"/>
    <w:rsid w:val="003D267B"/>
    <w:rsid w:val="003D7B9B"/>
    <w:rsid w:val="003E3C6A"/>
    <w:rsid w:val="00417B84"/>
    <w:rsid w:val="00445329"/>
    <w:rsid w:val="00463CF1"/>
    <w:rsid w:val="004709AB"/>
    <w:rsid w:val="00473E97"/>
    <w:rsid w:val="00475A18"/>
    <w:rsid w:val="00476635"/>
    <w:rsid w:val="004938FE"/>
    <w:rsid w:val="004B4E73"/>
    <w:rsid w:val="004C1E83"/>
    <w:rsid w:val="004C5DD3"/>
    <w:rsid w:val="004D0D7D"/>
    <w:rsid w:val="004E1923"/>
    <w:rsid w:val="004F65BE"/>
    <w:rsid w:val="00520475"/>
    <w:rsid w:val="00547B10"/>
    <w:rsid w:val="005647D5"/>
    <w:rsid w:val="00567BF1"/>
    <w:rsid w:val="00591FD5"/>
    <w:rsid w:val="005A1D01"/>
    <w:rsid w:val="005A72BA"/>
    <w:rsid w:val="005C306C"/>
    <w:rsid w:val="005C5FFC"/>
    <w:rsid w:val="005C6A6A"/>
    <w:rsid w:val="005F587C"/>
    <w:rsid w:val="005F695F"/>
    <w:rsid w:val="006334D5"/>
    <w:rsid w:val="0066199A"/>
    <w:rsid w:val="006800F6"/>
    <w:rsid w:val="0069229A"/>
    <w:rsid w:val="006A59C7"/>
    <w:rsid w:val="006B6F99"/>
    <w:rsid w:val="006C2D24"/>
    <w:rsid w:val="006D07C8"/>
    <w:rsid w:val="006E25DC"/>
    <w:rsid w:val="006F2B67"/>
    <w:rsid w:val="006F787C"/>
    <w:rsid w:val="007452FC"/>
    <w:rsid w:val="007A6B89"/>
    <w:rsid w:val="007A766C"/>
    <w:rsid w:val="007C06F9"/>
    <w:rsid w:val="007C4AF6"/>
    <w:rsid w:val="007D0A86"/>
    <w:rsid w:val="007E4A1A"/>
    <w:rsid w:val="00802CD4"/>
    <w:rsid w:val="00830CB3"/>
    <w:rsid w:val="008536F6"/>
    <w:rsid w:val="00860A16"/>
    <w:rsid w:val="00865369"/>
    <w:rsid w:val="008D527C"/>
    <w:rsid w:val="008E089E"/>
    <w:rsid w:val="008F003C"/>
    <w:rsid w:val="0090030C"/>
    <w:rsid w:val="0091063E"/>
    <w:rsid w:val="00917B01"/>
    <w:rsid w:val="00931AA6"/>
    <w:rsid w:val="00956126"/>
    <w:rsid w:val="00966D0E"/>
    <w:rsid w:val="009742C7"/>
    <w:rsid w:val="00976646"/>
    <w:rsid w:val="0098113D"/>
    <w:rsid w:val="00997430"/>
    <w:rsid w:val="009A6EA4"/>
    <w:rsid w:val="009A7F75"/>
    <w:rsid w:val="009B4DEB"/>
    <w:rsid w:val="009B5514"/>
    <w:rsid w:val="009E3780"/>
    <w:rsid w:val="009E5699"/>
    <w:rsid w:val="009F0121"/>
    <w:rsid w:val="00A05153"/>
    <w:rsid w:val="00A114A4"/>
    <w:rsid w:val="00A17002"/>
    <w:rsid w:val="00A24844"/>
    <w:rsid w:val="00A4685C"/>
    <w:rsid w:val="00A5588D"/>
    <w:rsid w:val="00A6088A"/>
    <w:rsid w:val="00A67B0E"/>
    <w:rsid w:val="00A70679"/>
    <w:rsid w:val="00A71141"/>
    <w:rsid w:val="00A77C88"/>
    <w:rsid w:val="00AD6B06"/>
    <w:rsid w:val="00AE4309"/>
    <w:rsid w:val="00AE72DE"/>
    <w:rsid w:val="00AF160E"/>
    <w:rsid w:val="00AF1CC3"/>
    <w:rsid w:val="00AF2E3F"/>
    <w:rsid w:val="00B11008"/>
    <w:rsid w:val="00B2218F"/>
    <w:rsid w:val="00B376B9"/>
    <w:rsid w:val="00B41854"/>
    <w:rsid w:val="00B47ED6"/>
    <w:rsid w:val="00B540F8"/>
    <w:rsid w:val="00B62ABB"/>
    <w:rsid w:val="00B632E0"/>
    <w:rsid w:val="00B76AC0"/>
    <w:rsid w:val="00BB6C1B"/>
    <w:rsid w:val="00BC00F4"/>
    <w:rsid w:val="00BE43A5"/>
    <w:rsid w:val="00BF3153"/>
    <w:rsid w:val="00C04DD0"/>
    <w:rsid w:val="00C22F8A"/>
    <w:rsid w:val="00C90662"/>
    <w:rsid w:val="00C94953"/>
    <w:rsid w:val="00C966EC"/>
    <w:rsid w:val="00CD0703"/>
    <w:rsid w:val="00CE4966"/>
    <w:rsid w:val="00D05737"/>
    <w:rsid w:val="00D073C9"/>
    <w:rsid w:val="00D3750E"/>
    <w:rsid w:val="00D45961"/>
    <w:rsid w:val="00D470D7"/>
    <w:rsid w:val="00D540A9"/>
    <w:rsid w:val="00D550F3"/>
    <w:rsid w:val="00D572D2"/>
    <w:rsid w:val="00D61677"/>
    <w:rsid w:val="00D768C5"/>
    <w:rsid w:val="00D77F08"/>
    <w:rsid w:val="00D809A1"/>
    <w:rsid w:val="00D847C7"/>
    <w:rsid w:val="00DA2083"/>
    <w:rsid w:val="00DE4F8E"/>
    <w:rsid w:val="00DF017C"/>
    <w:rsid w:val="00E10AF1"/>
    <w:rsid w:val="00E23D84"/>
    <w:rsid w:val="00E27C2F"/>
    <w:rsid w:val="00E3285A"/>
    <w:rsid w:val="00E46E5E"/>
    <w:rsid w:val="00E53B3B"/>
    <w:rsid w:val="00E90C27"/>
    <w:rsid w:val="00EB42D7"/>
    <w:rsid w:val="00EE1B15"/>
    <w:rsid w:val="00F11F73"/>
    <w:rsid w:val="00F1762E"/>
    <w:rsid w:val="00F47861"/>
    <w:rsid w:val="00F540EF"/>
    <w:rsid w:val="00F62DB9"/>
    <w:rsid w:val="00F87A49"/>
    <w:rsid w:val="00FB2D26"/>
    <w:rsid w:val="00FF5C49"/>
    <w:rsid w:val="06AB1055"/>
    <w:rsid w:val="09540165"/>
    <w:rsid w:val="0ADE7A04"/>
    <w:rsid w:val="0B5503DD"/>
    <w:rsid w:val="0E081FCB"/>
    <w:rsid w:val="10135ABC"/>
    <w:rsid w:val="1AA93157"/>
    <w:rsid w:val="1D7E5294"/>
    <w:rsid w:val="1D911178"/>
    <w:rsid w:val="25162339"/>
    <w:rsid w:val="2CF73916"/>
    <w:rsid w:val="3C7D5870"/>
    <w:rsid w:val="4A7550CF"/>
    <w:rsid w:val="4BEB3154"/>
    <w:rsid w:val="4FB863C1"/>
    <w:rsid w:val="585E27CD"/>
    <w:rsid w:val="5B5F6C3B"/>
    <w:rsid w:val="5D261C35"/>
    <w:rsid w:val="5E5A6CCD"/>
    <w:rsid w:val="62916360"/>
    <w:rsid w:val="6EE37FB2"/>
    <w:rsid w:val="780C1669"/>
    <w:rsid w:val="7F062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4"/>
    <w:semiHidden/>
    <w:unhideWhenUsed/>
    <w:uiPriority w:val="99"/>
    <w:pPr>
      <w:jc w:val="left"/>
    </w:pPr>
  </w:style>
  <w:style w:type="paragraph" w:styleId="3">
    <w:name w:val="Balloon Text"/>
    <w:basedOn w:val="1"/>
    <w:link w:val="23"/>
    <w:semiHidden/>
    <w:unhideWhenUsed/>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22"/>
    <w:semiHidden/>
    <w:unhideWhenUsed/>
    <w:uiPriority w:val="99"/>
    <w:pPr>
      <w:snapToGrid w:val="0"/>
      <w:jc w:val="left"/>
    </w:pPr>
    <w:rPr>
      <w:sz w:val="18"/>
      <w:szCs w:val="18"/>
    </w:rPr>
  </w:style>
  <w:style w:type="paragraph" w:styleId="7">
    <w:name w:val="annotation subject"/>
    <w:basedOn w:val="2"/>
    <w:next w:val="2"/>
    <w:link w:val="25"/>
    <w:semiHidden/>
    <w:unhideWhenUsed/>
    <w:uiPriority w:val="99"/>
    <w:rPr>
      <w:b/>
      <w:bCs/>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semiHidden/>
    <w:unhideWhenUsed/>
    <w:qFormat/>
    <w:uiPriority w:val="99"/>
    <w:rPr>
      <w:color w:val="0000FF"/>
      <w:u w:val="single"/>
    </w:rPr>
  </w:style>
  <w:style w:type="character" w:styleId="12">
    <w:name w:val="annotation reference"/>
    <w:basedOn w:val="10"/>
    <w:semiHidden/>
    <w:unhideWhenUsed/>
    <w:uiPriority w:val="99"/>
    <w:rPr>
      <w:sz w:val="21"/>
      <w:szCs w:val="21"/>
    </w:rPr>
  </w:style>
  <w:style w:type="character" w:styleId="13">
    <w:name w:val="footnote reference"/>
    <w:basedOn w:val="10"/>
    <w:semiHidden/>
    <w:unhideWhenUsed/>
    <w:uiPriority w:val="99"/>
    <w:rPr>
      <w:vertAlign w:val="superscript"/>
    </w:rPr>
  </w:style>
  <w:style w:type="character" w:customStyle="1" w:styleId="14">
    <w:name w:val="页眉 字符"/>
    <w:basedOn w:val="10"/>
    <w:link w:val="5"/>
    <w:qFormat/>
    <w:uiPriority w:val="99"/>
    <w:rPr>
      <w:sz w:val="18"/>
      <w:szCs w:val="18"/>
    </w:rPr>
  </w:style>
  <w:style w:type="character" w:customStyle="1" w:styleId="15">
    <w:name w:val="页脚 字符"/>
    <w:basedOn w:val="10"/>
    <w:link w:val="4"/>
    <w:uiPriority w:val="99"/>
    <w:rPr>
      <w:sz w:val="18"/>
      <w:szCs w:val="18"/>
    </w:rPr>
  </w:style>
  <w:style w:type="character" w:customStyle="1" w:styleId="16">
    <w:name w:val="fontstyle01"/>
    <w:basedOn w:val="10"/>
    <w:qFormat/>
    <w:uiPriority w:val="0"/>
    <w:rPr>
      <w:rFonts w:hint="eastAsia" w:ascii="宋体" w:hAnsi="宋体" w:eastAsia="宋体"/>
      <w:color w:val="000000"/>
      <w:sz w:val="20"/>
      <w:szCs w:val="20"/>
    </w:rPr>
  </w:style>
  <w:style w:type="character" w:customStyle="1" w:styleId="17">
    <w:name w:val="fontstyle11"/>
    <w:basedOn w:val="10"/>
    <w:uiPriority w:val="0"/>
    <w:rPr>
      <w:rFonts w:hint="default" w:ascii="LSJ0+ZBBMyu-1" w:hAnsi="LSJ0+ZBBMyu-1"/>
      <w:color w:val="000000"/>
      <w:sz w:val="20"/>
      <w:szCs w:val="20"/>
    </w:rPr>
  </w:style>
  <w:style w:type="character" w:customStyle="1" w:styleId="18">
    <w:name w:val="fontstyle31"/>
    <w:basedOn w:val="10"/>
    <w:qFormat/>
    <w:uiPriority w:val="0"/>
    <w:rPr>
      <w:rFonts w:hint="default" w:ascii="E-BZ+ZBBMyv-2" w:hAnsi="E-BZ+ZBBMyv-2"/>
      <w:color w:val="000000"/>
      <w:sz w:val="20"/>
      <w:szCs w:val="20"/>
    </w:rPr>
  </w:style>
  <w:style w:type="character" w:customStyle="1" w:styleId="19">
    <w:name w:val="fontstyle41"/>
    <w:basedOn w:val="10"/>
    <w:qFormat/>
    <w:uiPriority w:val="0"/>
    <w:rPr>
      <w:rFonts w:hint="default" w:ascii="E-FZ+ZBBMyv-4" w:hAnsi="E-FZ+ZBBMyv-4"/>
      <w:color w:val="000000"/>
      <w:sz w:val="22"/>
      <w:szCs w:val="22"/>
    </w:rPr>
  </w:style>
  <w:style w:type="character" w:customStyle="1" w:styleId="20">
    <w:name w:val="fontstyle51"/>
    <w:basedOn w:val="10"/>
    <w:qFormat/>
    <w:uiPriority w:val="0"/>
    <w:rPr>
      <w:rFonts w:hint="eastAsia" w:ascii="黑体" w:hAnsi="黑体" w:eastAsia="黑体"/>
      <w:color w:val="000000"/>
      <w:sz w:val="22"/>
      <w:szCs w:val="22"/>
    </w:rPr>
  </w:style>
  <w:style w:type="paragraph" w:styleId="21">
    <w:name w:val="List Paragraph"/>
    <w:basedOn w:val="1"/>
    <w:qFormat/>
    <w:uiPriority w:val="34"/>
    <w:pPr>
      <w:ind w:firstLine="420" w:firstLineChars="200"/>
    </w:pPr>
  </w:style>
  <w:style w:type="character" w:customStyle="1" w:styleId="22">
    <w:name w:val="脚注文本 字符"/>
    <w:basedOn w:val="10"/>
    <w:link w:val="6"/>
    <w:semiHidden/>
    <w:qFormat/>
    <w:uiPriority w:val="99"/>
    <w:rPr>
      <w:rFonts w:asciiTheme="minorHAnsi" w:hAnsiTheme="minorHAnsi" w:eastAsiaTheme="minorEastAsia" w:cstheme="minorBidi"/>
      <w:kern w:val="2"/>
      <w:sz w:val="18"/>
      <w:szCs w:val="18"/>
    </w:rPr>
  </w:style>
  <w:style w:type="character" w:customStyle="1" w:styleId="23">
    <w:name w:val="批注框文本 字符"/>
    <w:basedOn w:val="10"/>
    <w:link w:val="3"/>
    <w:semiHidden/>
    <w:qFormat/>
    <w:uiPriority w:val="99"/>
    <w:rPr>
      <w:rFonts w:asciiTheme="minorHAnsi" w:hAnsiTheme="minorHAnsi" w:eastAsiaTheme="minorEastAsia" w:cstheme="minorBidi"/>
      <w:kern w:val="2"/>
      <w:sz w:val="18"/>
      <w:szCs w:val="18"/>
    </w:rPr>
  </w:style>
  <w:style w:type="character" w:customStyle="1" w:styleId="24">
    <w:name w:val="批注文字 字符"/>
    <w:basedOn w:val="10"/>
    <w:link w:val="2"/>
    <w:semiHidden/>
    <w:qFormat/>
    <w:uiPriority w:val="99"/>
    <w:rPr>
      <w:rFonts w:asciiTheme="minorHAnsi" w:hAnsiTheme="minorHAnsi" w:eastAsiaTheme="minorEastAsia" w:cstheme="minorBidi"/>
      <w:kern w:val="2"/>
      <w:sz w:val="21"/>
      <w:szCs w:val="22"/>
    </w:rPr>
  </w:style>
  <w:style w:type="character" w:customStyle="1" w:styleId="25">
    <w:name w:val="批注主题 字符"/>
    <w:basedOn w:val="24"/>
    <w:link w:val="7"/>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1575</Words>
  <Characters>8979</Characters>
  <Lines>74</Lines>
  <Paragraphs>21</Paragraphs>
  <TotalTime>1</TotalTime>
  <ScaleCrop>false</ScaleCrop>
  <LinksUpToDate>false</LinksUpToDate>
  <CharactersWithSpaces>10533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2020-01-13T15:23:00Z</dcterms:created>
  <dc:creator>德奎 邢</dc:creator>
  <cp:lastModifiedBy>HH</cp:lastModifiedBy>
  <dcterms:modified xsi:type="dcterms:W3CDTF">2021-05-19T02:40:15Z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DA2D655D64B54BF1817E9EAD414E958B</vt:lpwstr>
  </property>
</Properties>
</file>