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EBF1DE" w:themeColor="accent3" w:themeTint="33"/>
  <w:body>
    <w:p>
      <w:pPr>
        <w:jc w:val="center"/>
        <w:rPr>
          <w:rFonts w:ascii="黑体" w:hAnsi="黑体" w:eastAsia="黑体"/>
          <w:sz w:val="32"/>
          <w:szCs w:val="32"/>
        </w:rPr>
      </w:pPr>
      <w:r>
        <w:rPr>
          <w:rFonts w:hint="eastAsia" w:ascii="黑体" w:hAnsi="黑体" w:eastAsia="黑体"/>
          <w:sz w:val="32"/>
          <w:szCs w:val="32"/>
        </w:rPr>
        <w:t>城市综合体空置诱因及</w:t>
      </w:r>
      <w:r>
        <w:rPr>
          <w:rFonts w:ascii="黑体" w:hAnsi="黑体" w:eastAsia="黑体"/>
          <w:sz w:val="32"/>
          <w:szCs w:val="32"/>
        </w:rPr>
        <w:t>TOD再开发可行性分析</w:t>
      </w:r>
    </w:p>
    <w:p>
      <w:pPr>
        <w:jc w:val="center"/>
        <w:rPr>
          <w:rFonts w:ascii="宋体" w:hAnsi="宋体"/>
          <w:sz w:val="28"/>
          <w:szCs w:val="28"/>
        </w:rPr>
      </w:pPr>
      <w:r>
        <w:rPr>
          <w:rFonts w:hint="eastAsia" w:ascii="黑体" w:hAnsi="黑体" w:eastAsia="黑体"/>
          <w:sz w:val="32"/>
          <w:szCs w:val="32"/>
        </w:rPr>
        <w:t>——以苏州市活力岛地区为例</w:t>
      </w:r>
      <w:r>
        <w:rPr>
          <w:rStyle w:val="17"/>
          <w:rFonts w:ascii="黑体" w:hAnsi="黑体" w:eastAsia="黑体"/>
          <w:sz w:val="32"/>
          <w:szCs w:val="32"/>
        </w:rPr>
        <w:footnoteReference w:id="0"/>
      </w:r>
    </w:p>
    <w:p>
      <w:pPr>
        <w:jc w:val="center"/>
        <w:rPr>
          <w:rFonts w:asciiTheme="minorEastAsia" w:hAnsiTheme="minorEastAsia" w:eastAsiaTheme="minorEastAsia"/>
        </w:rPr>
      </w:pPr>
      <w:r>
        <w:rPr>
          <w:rFonts w:hint="eastAsia" w:asciiTheme="minorEastAsia" w:hAnsiTheme="minorEastAsia" w:eastAsiaTheme="minorEastAsia"/>
        </w:rPr>
        <w:t>吴莉娅</w:t>
      </w:r>
    </w:p>
    <w:p>
      <w:pPr>
        <w:jc w:val="center"/>
      </w:pPr>
      <w:r>
        <w:rPr>
          <w:rFonts w:hint="eastAsia" w:asciiTheme="minorEastAsia" w:hAnsiTheme="minorEastAsia" w:eastAsiaTheme="minorEastAsia"/>
        </w:rPr>
        <w:t>（</w:t>
      </w:r>
      <w:r>
        <w:rPr>
          <w:rFonts w:hint="eastAsia" w:asciiTheme="minorEastAsia" w:hAnsiTheme="minorEastAsia" w:eastAsiaTheme="minorEastAsia"/>
          <w:szCs w:val="18"/>
        </w:rPr>
        <w:t>苏州大学江苏省新型城镇化与社会治理协同创新中心</w:t>
      </w:r>
      <w:r>
        <w:rPr>
          <w:rFonts w:hint="eastAsia" w:asciiTheme="minorEastAsia" w:hAnsiTheme="minorEastAsia" w:eastAsiaTheme="minorEastAsia"/>
        </w:rPr>
        <w:t>，江苏 苏州 215123）</w:t>
      </w:r>
    </w:p>
    <w:p>
      <w:pPr>
        <w:jc w:val="left"/>
      </w:pPr>
    </w:p>
    <w:p>
      <w:pPr>
        <w:jc w:val="left"/>
      </w:pPr>
      <w:r>
        <w:t xml:space="preserve">    </w:t>
      </w:r>
      <w:r>
        <w:rPr>
          <w:rFonts w:hint="eastAsia"/>
          <w:b/>
        </w:rPr>
        <w:t xml:space="preserve">摘 </w:t>
      </w:r>
      <w:r>
        <w:rPr>
          <w:b/>
        </w:rPr>
        <w:t xml:space="preserve"> </w:t>
      </w:r>
      <w:r>
        <w:rPr>
          <w:rFonts w:hint="eastAsia"/>
          <w:b/>
        </w:rPr>
        <w:t>要</w:t>
      </w:r>
      <w:r>
        <w:rPr>
          <w:rFonts w:hint="eastAsia"/>
        </w:rPr>
        <w:t>：整体开发、整体推介、整体运营的城市综合体“打造”模式不乏失败案例，苏州活力岛地区的案例表明，城市综合体空置的直接原因是未批先建导致的法律性问题，但根本原因在于“大干快上”的CBD物质空间建设热超出了区域经济发展整体水平，区际区内过度竞争导致商业业态与空间的低端锁定，交通组织与城市设计不合理。精准定位，社会经济实力提升，深化改革、依法行政，道路建设与公交优化，国家城市设计改革从经济、政治、交通、技术层面提高空置城市综合体T</w:t>
      </w:r>
      <w:r>
        <w:t>OD</w:t>
      </w:r>
      <w:r>
        <w:rPr>
          <w:rFonts w:hint="eastAsia"/>
        </w:rPr>
        <w:t>再开发的可行性。</w:t>
      </w:r>
    </w:p>
    <w:p>
      <w:pPr>
        <w:ind w:firstLine="420"/>
        <w:jc w:val="left"/>
      </w:pPr>
      <w:r>
        <w:rPr>
          <w:rFonts w:hint="eastAsia"/>
          <w:b/>
        </w:rPr>
        <w:t>关键词</w:t>
      </w:r>
      <w:r>
        <w:rPr>
          <w:rFonts w:hint="eastAsia"/>
        </w:rPr>
        <w:t>：活力岛；T</w:t>
      </w:r>
      <w:r>
        <w:t>OD</w:t>
      </w:r>
      <w:r>
        <w:rPr>
          <w:rFonts w:hint="eastAsia"/>
        </w:rPr>
        <w:t>再开发；可行性；城市综合体；企业家城市</w:t>
      </w:r>
    </w:p>
    <w:p>
      <w:pPr>
        <w:ind w:firstLine="420"/>
        <w:jc w:val="left"/>
      </w:pPr>
      <w:r>
        <w:rPr>
          <w:rFonts w:hint="eastAsia"/>
          <w:b/>
        </w:rPr>
        <w:t>中图分类号：</w:t>
      </w:r>
      <w:r>
        <w:rPr>
          <w:rFonts w:hint="eastAsia"/>
        </w:rPr>
        <w:t>T</w:t>
      </w:r>
      <w:r>
        <w:t xml:space="preserve">U984 </w:t>
      </w:r>
      <w:r>
        <w:rPr>
          <w:rFonts w:hint="eastAsia"/>
          <w:b/>
        </w:rPr>
        <w:t>文献标识码：</w:t>
      </w:r>
      <w:r>
        <w:rPr>
          <w:rFonts w:hint="eastAsia"/>
        </w:rPr>
        <w:t>A</w:t>
      </w:r>
      <w:r>
        <w:t xml:space="preserve"> </w:t>
      </w:r>
      <w:r>
        <w:rPr>
          <w:rFonts w:hint="eastAsia"/>
          <w:b/>
        </w:rPr>
        <w:t>文章编号：</w:t>
      </w:r>
    </w:p>
    <w:p>
      <w:pPr>
        <w:jc w:val="left"/>
      </w:pPr>
    </w:p>
    <w:p>
      <w:pPr>
        <w:pStyle w:val="2"/>
        <w:ind w:firstLine="482"/>
      </w:pPr>
      <w:r>
        <w:rPr>
          <w:rFonts w:hint="eastAsia"/>
        </w:rPr>
        <w:t>引言</w:t>
      </w:r>
    </w:p>
    <w:p>
      <w:pPr>
        <w:ind w:firstLine="420"/>
        <w:jc w:val="left"/>
        <w:rPr>
          <w:vertAlign w:val="superscript"/>
        </w:rPr>
      </w:pPr>
      <w:r>
        <w:rPr>
          <w:rFonts w:hint="eastAsia"/>
        </w:rPr>
        <w:t>田园城市理论希望通过疏散大城市人口来解决大城市日益严重的城市问题，其后，卫星城、新城理论、有机疏散、广亩城市理论逐渐兴起并进行了大量实践。城市分散发展的规划实践在一定程度上加剧了城市的对外扩张，甚至造成较为严重的城市蔓延。大城市内城衰退与郊区“边缘城市”兴起并存，带来一系列的经济、社会、生态问题。精明增长、新城市主义等理论逐渐兴起</w:t>
      </w:r>
      <w:r>
        <w:rPr>
          <w:rFonts w:hint="eastAsia"/>
          <w:vertAlign w:val="superscript"/>
        </w:rPr>
        <w:t>[</w:t>
      </w:r>
      <w:r>
        <w:rPr>
          <w:rStyle w:val="14"/>
        </w:rPr>
        <w:endnoteReference w:id="0"/>
      </w:r>
      <w:r>
        <w:rPr>
          <w:rFonts w:hint="eastAsia"/>
          <w:vertAlign w:val="superscript"/>
        </w:rPr>
        <w:t>，</w:t>
      </w:r>
      <w:r>
        <w:rPr>
          <w:rStyle w:val="14"/>
        </w:rPr>
        <w:endnoteReference w:id="1"/>
      </w:r>
      <w:r>
        <w:rPr>
          <w:rFonts w:hint="eastAsia"/>
          <w:vertAlign w:val="superscript"/>
        </w:rPr>
        <w:t>]</w:t>
      </w:r>
      <w:r>
        <w:rPr>
          <w:rFonts w:hint="eastAsia"/>
        </w:rPr>
        <w:t>，并进行了诸如哥本哈根T</w:t>
      </w:r>
      <w:r>
        <w:t>OD</w:t>
      </w:r>
      <w:r>
        <w:rPr>
          <w:rFonts w:hint="eastAsia"/>
        </w:rPr>
        <w:t>开发</w:t>
      </w:r>
      <w:r>
        <w:rPr>
          <w:rFonts w:hint="eastAsia"/>
          <w:vertAlign w:val="superscript"/>
        </w:rPr>
        <w:t>[</w:t>
      </w:r>
      <w:r>
        <w:rPr>
          <w:rStyle w:val="14"/>
        </w:rPr>
        <w:endnoteReference w:id="2"/>
      </w:r>
      <w:r>
        <w:rPr>
          <w:vertAlign w:val="superscript"/>
        </w:rPr>
        <w:t>]</w:t>
      </w:r>
      <w:r>
        <w:rPr>
          <w:rFonts w:hint="eastAsia"/>
        </w:rPr>
        <w:t>等大量的实践。有学者认为，中国城市不能直接照搬国外TOD开发模式，必须根据国情进行改进。</w:t>
      </w:r>
      <w:r>
        <w:rPr>
          <w:rFonts w:hint="eastAsia"/>
          <w:vertAlign w:val="superscript"/>
        </w:rPr>
        <w:t>[</w:t>
      </w:r>
      <w:r>
        <w:rPr>
          <w:rStyle w:val="14"/>
        </w:rPr>
        <w:endnoteReference w:id="3"/>
      </w:r>
      <w:r>
        <w:rPr>
          <w:rFonts w:hint="eastAsia"/>
          <w:vertAlign w:val="superscript"/>
        </w:rPr>
        <w:t>，</w:t>
      </w:r>
      <w:r>
        <w:rPr>
          <w:rStyle w:val="14"/>
        </w:rPr>
        <w:endnoteReference w:id="4"/>
      </w:r>
      <w:r>
        <w:rPr>
          <w:rFonts w:hint="eastAsia"/>
          <w:vertAlign w:val="superscript"/>
        </w:rPr>
        <w:t>，</w:t>
      </w:r>
      <w:r>
        <w:rPr>
          <w:rStyle w:val="14"/>
        </w:rPr>
        <w:endnoteReference w:id="5"/>
      </w:r>
      <w:r>
        <w:rPr>
          <w:rFonts w:hint="eastAsia"/>
          <w:vertAlign w:val="superscript"/>
        </w:rPr>
        <w:t>，</w:t>
      </w:r>
      <w:r>
        <w:rPr>
          <w:rStyle w:val="14"/>
        </w:rPr>
        <w:endnoteReference w:id="6"/>
      </w:r>
      <w:r>
        <w:rPr>
          <w:rFonts w:hint="eastAsia"/>
          <w:vertAlign w:val="superscript"/>
        </w:rPr>
        <w:t>]</w:t>
      </w:r>
    </w:p>
    <w:p>
      <w:pPr>
        <w:ind w:firstLine="420"/>
        <w:jc w:val="left"/>
      </w:pPr>
      <w:r>
        <w:rPr>
          <w:rFonts w:hint="eastAsia"/>
        </w:rPr>
        <w:t>改革开放以后，大多数中国城市快速发展，原有城市框架难以容纳新增生产力和人口，在老城之外建设新城或者产业园区成为许多城市的选择。在早期发展中，新城或园区的生产功能与老城的生活和社会服务分离特征显著。随着时间推移，或自发或区政府“退二进三”需要，新城或园区商业中心逐渐形成。特别是“十一五”之后，“打造CBD”、建设商业（商务）“新高地”成为许多城市市、区两级的重点工作任务之一，尤其是一些处于工业化后期、期望凭借后发优势“急起直追”的新城区，迫切需要把本区工作、居住人口的消费能力在本区“变现”。这种前期“政府推动、规划引领、筑巢引凤”建设城市综合体“整体开发”，后期C</w:t>
      </w:r>
      <w:r>
        <w:t>BD</w:t>
      </w:r>
      <w:r>
        <w:rPr>
          <w:rFonts w:hint="eastAsia"/>
        </w:rPr>
        <w:t>招商中心“市场运作”“整体推介”的“打造”新城C</w:t>
      </w:r>
      <w:r>
        <w:t>BD</w:t>
      </w:r>
      <w:r>
        <w:rPr>
          <w:rFonts w:hint="eastAsia"/>
        </w:rPr>
        <w:t>模式在许多新城取得了成功，如苏州工业园区湖西C</w:t>
      </w:r>
      <w:r>
        <w:t>BD</w:t>
      </w:r>
      <w:r>
        <w:rPr>
          <w:rFonts w:hint="eastAsia"/>
        </w:rPr>
        <w:t>和湖东C</w:t>
      </w:r>
      <w:r>
        <w:t>BD</w:t>
      </w:r>
      <w:r>
        <w:rPr>
          <w:rFonts w:hint="eastAsia"/>
        </w:rPr>
        <w:t>，就是采用这种整体开发、整体推介、分期推进的开发模式，但也不乏失败案例，苏州相城区活力岛城市综合体项目即是其中之一。</w:t>
      </w:r>
    </w:p>
    <w:p>
      <w:pPr>
        <w:pStyle w:val="2"/>
        <w:ind w:firstLine="482"/>
      </w:pPr>
      <w:r>
        <w:rPr>
          <w:rFonts w:hint="eastAsia"/>
        </w:rPr>
        <w:t>一、活力岛地区开发概况</w:t>
      </w:r>
    </w:p>
    <w:p>
      <w:pPr>
        <w:ind w:firstLine="420"/>
        <w:jc w:val="left"/>
      </w:pPr>
      <w:r>
        <w:rPr>
          <w:rFonts w:hint="eastAsia"/>
        </w:rPr>
        <w:t>2005年，苏州率先基本实现小康以后，传统制造业逐步向中西部地区，甚至海外转移。苏州各级政府着力发展第三产业，各区先后确立了重点扶持产业及重点发展地区，如姑苏区重点发展休闲文化旅游产业；工业园区规划环金鸡湖商圈，建设“国际一流的长三角商务中心”、“金融后台服务外包的全国中心”、“长三角总部经济的集聚地”、“苏州市最重要的金融和商务中心”</w:t>
      </w:r>
      <w:r>
        <w:rPr>
          <w:rFonts w:hint="eastAsia"/>
          <w:vertAlign w:val="superscript"/>
        </w:rPr>
        <w:t>[</w:t>
      </w:r>
      <w:r>
        <w:rPr>
          <w:rStyle w:val="14"/>
        </w:rPr>
        <w:endnoteReference w:id="7"/>
      </w:r>
      <w:r>
        <w:rPr>
          <w:vertAlign w:val="superscript"/>
        </w:rPr>
        <w:t>]</w:t>
      </w:r>
      <w:r>
        <w:rPr>
          <w:rFonts w:hint="eastAsia"/>
        </w:rPr>
        <w:t>；吴中区着力推进老城更新，把“城南”打造成“南城中心”；相城区提出建设“苏州城北CBD”。</w:t>
      </w:r>
    </w:p>
    <w:p>
      <w:pPr>
        <w:ind w:firstLine="420"/>
        <w:jc w:val="left"/>
      </w:pPr>
      <w:r>
        <w:rPr>
          <w:rFonts w:hint="eastAsia"/>
        </w:rPr>
        <w:t>广义的活力岛地区指元和塘以西的城市商业副中心，包括中央商贸城、繁花中心、合景等商业组群；狭义的活力岛地区由中央万人广场和东方风情岛、西方风情岛组成。本文研究范围为狭义活力岛地区。</w:t>
      </w:r>
    </w:p>
    <w:p>
      <w:pPr>
        <w:ind w:firstLine="420"/>
        <w:jc w:val="left"/>
      </w:pPr>
      <w:r>
        <w:rPr>
          <w:rFonts w:hint="eastAsia"/>
        </w:rPr>
        <w:t>活力岛于2006年启动规划、2007年开始动工建设。万人广场是苏州目前最大的露天剧场；东方风情岛以欧式建筑为主，招商对象是中式餐饮、特色茶馆、KTV等；西方风情岛以现代建筑为主，招商对象以咖啡、西餐、KTV、会所、酒吧、家居、创意特色等休闲娱乐业态为主，东西两岛当时都吸引了一些国内外知名餐饮企业入驻。为了集聚人气、创建品牌，相城区人民政府与北京艺都国际传媒有限公司共同举办活力岛音乐节，但仅仅举办了2010年一届就夭折。现在，除了万人广场成为附近居民以广场舞为主的休闲去处外，东岛封存，西岛有一个出入口可以随意进入，但除了稀稀落落停放的车辆，就是年久失修的建筑。2017年4月，苏州地铁4号线开通，沉寂十年的活力岛是否会重启成为热议话题。</w:t>
      </w:r>
    </w:p>
    <w:p>
      <w:pPr>
        <w:pStyle w:val="2"/>
        <w:ind w:firstLine="482"/>
      </w:pPr>
      <w:r>
        <w:rPr>
          <w:rFonts w:hint="eastAsia"/>
        </w:rPr>
        <w:t>二、活力岛地区空置原因分析</w:t>
      </w:r>
    </w:p>
    <w:p>
      <w:pPr>
        <w:ind w:firstLine="420"/>
        <w:jc w:val="left"/>
      </w:pPr>
      <w:r>
        <w:rPr>
          <w:rFonts w:hint="eastAsia"/>
        </w:rPr>
        <w:t>从城市规划管理的视角解析，活力岛地区空置的根本原因似乎是地方政府未批先建运作遇上中央层面的“严打”，但事实上却远非如此简单，“大干快上”的CBD物质空间建设热超出了区域经济发展整体水平，区际区内过度竞争导致商业业态与空间的低端锁定，交通组织与城市设计不合理至今仍对活力岛地区再开发造成持续不利影响。</w:t>
      </w:r>
    </w:p>
    <w:p>
      <w:pPr>
        <w:pStyle w:val="3"/>
        <w:ind w:firstLine="422"/>
      </w:pPr>
      <w:r>
        <w:rPr>
          <w:rFonts w:hint="eastAsia"/>
        </w:rPr>
        <w:t>（一）用地手续补全难度较大</w:t>
      </w:r>
    </w:p>
    <w:p>
      <w:r>
        <w:rPr>
          <w:rFonts w:hint="eastAsia"/>
        </w:rPr>
        <w:t xml:space="preserve">    与工业园区设立5年内不考核经济指标等政策优惠比，相城区一设立就要“参加考试”，社会经济建设任务重，开发区自主权限低，政策优惠幅度小，为了急追直上，完成上级政府下达的经济任务，未批先建、先运营再补齐基础设施和公共服务设施等现象并不鲜见。在国土资源部清理整顿各类开发区、严查违法违规用地过程中，因规划、用地手续不全，活力岛西岛、东岛及附近部分商业商务楼宇（综合体）的企业和商家停止经营，撤出该区域。截至2017年5月，活力岛西岛具体到每栋房屋的土地证暂无，活力商业广场、活力岛西岛、苏州小外滩部分建筑等的房产证处于在办状态，在一定程度上影响到招商及企业运营。</w:t>
      </w:r>
    </w:p>
    <w:p>
      <w:pPr>
        <w:pStyle w:val="3"/>
        <w:ind w:firstLine="422"/>
      </w:pPr>
      <w:r>
        <w:rPr>
          <w:rFonts w:hint="eastAsia"/>
        </w:rPr>
        <w:t>（二）定位不准确，物质空间建设超出区域经济发展水平</w:t>
      </w:r>
    </w:p>
    <w:p>
      <w:pPr>
        <w:ind w:firstLine="420" w:firstLineChars="200"/>
      </w:pPr>
      <w:r>
        <w:rPr>
          <w:rFonts w:hint="eastAsia"/>
        </w:rPr>
        <w:t>活力岛地区“苏州城北CBD”的定位既超出了相城区社会经济发展水平，也超出了当时苏州市社会经济发展水平。2001年，相城区建区，2002年设立经济开发区，2012年设立高铁新城，成为苏州“一核四城”中的“四城”之一。2017年，相城区按常住人口计算的人均GDP97327元</w:t>
      </w:r>
      <w:r>
        <w:rPr>
          <w:rFonts w:hint="eastAsia"/>
          <w:vertAlign w:val="superscript"/>
        </w:rPr>
        <w:t>[</w:t>
      </w:r>
      <w:r>
        <w:rPr>
          <w:rStyle w:val="14"/>
        </w:rPr>
        <w:endnoteReference w:id="8"/>
      </w:r>
      <w:r>
        <w:rPr>
          <w:vertAlign w:val="superscript"/>
        </w:rPr>
        <w:t>]</w:t>
      </w:r>
      <w:r>
        <w:rPr>
          <w:rFonts w:hint="eastAsia"/>
        </w:rPr>
        <w:t>，城市化水平为70.39%</w:t>
      </w:r>
      <w:r>
        <w:rPr>
          <w:rFonts w:hint="eastAsia"/>
          <w:vertAlign w:val="superscript"/>
        </w:rPr>
        <w:t xml:space="preserve"> [</w:t>
      </w:r>
      <w:r>
        <w:rPr>
          <w:rStyle w:val="14"/>
        </w:rPr>
        <w:endnoteReference w:id="9"/>
      </w:r>
      <w:r>
        <w:rPr>
          <w:vertAlign w:val="superscript"/>
        </w:rPr>
        <w:t>]</w:t>
      </w:r>
      <w:r>
        <w:rPr>
          <w:rFonts w:hint="eastAsia"/>
        </w:rPr>
        <w:t>，远低于苏州全市平均水平（1</w:t>
      </w:r>
      <w:r>
        <w:t>62388</w:t>
      </w:r>
      <w:r>
        <w:rPr>
          <w:rFonts w:hint="eastAsia"/>
        </w:rPr>
        <w:t>元/人</w:t>
      </w:r>
      <w:r>
        <w:rPr>
          <w:rFonts w:hint="eastAsia"/>
          <w:vertAlign w:val="superscript"/>
        </w:rPr>
        <w:t>[</w:t>
      </w:r>
      <w:r>
        <w:rPr>
          <w:rStyle w:val="14"/>
        </w:rPr>
        <w:endnoteReference w:id="10"/>
      </w:r>
      <w:r>
        <w:rPr>
          <w:vertAlign w:val="superscript"/>
        </w:rPr>
        <w:t>]</w:t>
      </w:r>
      <w:r>
        <w:rPr>
          <w:rFonts w:hint="eastAsia"/>
        </w:rPr>
        <w:t>，75.80%</w:t>
      </w:r>
      <w:r>
        <w:rPr>
          <w:vertAlign w:val="superscript"/>
        </w:rPr>
        <w:t>[10]</w:t>
      </w:r>
      <w:r>
        <w:rPr>
          <w:rFonts w:hint="eastAsia"/>
        </w:rPr>
        <w:t>）迄今为止，苏州市企业集团、上市公司、总部企业利润总额50强中没有相城区的企业，在苏州的19家外资金融机构及代表处、23家外资保险公司及代表处无一家落户相城，在一定程度上说明相城区相关产业发展能力偏弱、发展潜力不足，对CBD发展所需要的商务办公、高端商业、休闲娱乐等生产性和生活性服务业支撑能力较差。</w:t>
      </w:r>
    </w:p>
    <w:p>
      <w:pPr>
        <w:ind w:firstLine="420" w:firstLineChars="200"/>
      </w:pPr>
      <w:r>
        <w:rPr>
          <w:rFonts w:hint="eastAsia"/>
        </w:rPr>
        <w:t>苏州处于由工业社会向后工业社会转型期，社会经济整体发展水平与生产性、生活性消费能力远不及北、上、广、深，无法支撑CBD网络的形成发展。以存贷款余额为例，2018年，上海金融机构存、贷款余额分别为</w:t>
      </w:r>
      <w:r>
        <w:t>121112.33</w:t>
      </w:r>
      <w:r>
        <w:rPr>
          <w:rFonts w:hint="eastAsia"/>
        </w:rPr>
        <w:t>亿元、</w:t>
      </w:r>
      <w:r>
        <w:t>73272.35</w:t>
      </w:r>
      <w:r>
        <w:rPr>
          <w:rFonts w:hint="eastAsia"/>
        </w:rPr>
        <w:t>亿元</w:t>
      </w:r>
      <w:r>
        <w:rPr>
          <w:rFonts w:hint="eastAsia"/>
          <w:vertAlign w:val="superscript"/>
        </w:rPr>
        <w:t>[</w:t>
      </w:r>
      <w:r>
        <w:rPr>
          <w:rStyle w:val="14"/>
        </w:rPr>
        <w:endnoteReference w:id="11"/>
      </w:r>
      <w:r>
        <w:rPr>
          <w:vertAlign w:val="superscript"/>
        </w:rPr>
        <w:t>]</w:t>
      </w:r>
      <w:r>
        <w:rPr>
          <w:rFonts w:hint="eastAsia"/>
        </w:rPr>
        <w:t>，而苏州仅有</w:t>
      </w:r>
      <w:r>
        <w:t>28560.4</w:t>
      </w:r>
      <w:r>
        <w:rPr>
          <w:rFonts w:hint="eastAsia"/>
        </w:rPr>
        <w:t>亿元、</w:t>
      </w:r>
      <w:r>
        <w:t>26546.2</w:t>
      </w:r>
      <w:r>
        <w:rPr>
          <w:rFonts w:hint="eastAsia"/>
        </w:rPr>
        <w:t>亿元</w:t>
      </w:r>
      <w:r>
        <w:rPr>
          <w:rFonts w:hint="eastAsia"/>
          <w:vertAlign w:val="superscript"/>
        </w:rPr>
        <w:t>[</w:t>
      </w:r>
      <w:r>
        <w:rPr>
          <w:rStyle w:val="14"/>
        </w:rPr>
        <w:endnoteReference w:id="12"/>
      </w:r>
      <w:r>
        <w:rPr>
          <w:vertAlign w:val="superscript"/>
        </w:rPr>
        <w:t>]</w:t>
      </w:r>
      <w:r>
        <w:rPr>
          <w:rFonts w:hint="eastAsia"/>
        </w:rPr>
        <w:t>。相当长一段时间内，苏州市级C</w:t>
      </w:r>
      <w:r>
        <w:t>BD</w:t>
      </w:r>
      <w:r>
        <w:rPr>
          <w:rFonts w:hint="eastAsia"/>
        </w:rPr>
        <w:t>呈现一主（古城C</w:t>
      </w:r>
      <w:r>
        <w:t>BD</w:t>
      </w:r>
      <w:r>
        <w:rPr>
          <w:rFonts w:hint="eastAsia"/>
        </w:rPr>
        <w:t>）一副（工业园区环金鸡湖C</w:t>
      </w:r>
      <w:r>
        <w:t>BD</w:t>
      </w:r>
      <w:r>
        <w:rPr>
          <w:rFonts w:hint="eastAsia"/>
        </w:rPr>
        <w:t>）状态。</w:t>
      </w:r>
    </w:p>
    <w:p>
      <w:pPr>
        <w:pStyle w:val="3"/>
        <w:ind w:firstLine="422"/>
      </w:pPr>
      <w:r>
        <w:rPr>
          <w:rFonts w:hint="eastAsia"/>
        </w:rPr>
        <w:t>（三）区际区内过度竞争形成恶性循环</w:t>
      </w:r>
    </w:p>
    <w:p>
      <w:pPr>
        <w:ind w:firstLine="420"/>
      </w:pPr>
      <w:r>
        <w:rPr>
          <w:rFonts w:hint="eastAsia"/>
        </w:rPr>
        <w:t>近年来，苏州各市辖区CBD均进行了大规模的城市更新和城市综合体建设，工业园区环球188、东方之门、中南中心等相继建成，不断刷新苏州第一高楼的记录，并以“先发效应”进一步吸引全市生产性及生活性消费。</w:t>
      </w:r>
    </w:p>
    <w:p>
      <w:pPr>
        <w:ind w:firstLine="420"/>
      </w:pPr>
      <w:r>
        <w:rPr>
          <w:rFonts w:hint="eastAsia"/>
        </w:rPr>
        <w:t>相城区整体商业发展水平较低，业态以低端为主，而城市综合体建设呈持续增长态势。根据相城区建设局数据，2012-2016年间，相城区办公楼合计新开工面积为50.28万平方米、合计竣工14.13万平方米；商业营业用房合计新开工面积为133万平方米、合计竣工面积31.79万平方米。元和街道招商中心数据显示，截至2017年5月，活力岛地区所在的元和街道已建上规模商业面积228.75万平方米，其中空置面积99.12万平方米，空置率高达43.33%，在建98.99万平方米，未建9.71万平方米。</w:t>
      </w:r>
    </w:p>
    <w:p>
      <w:pPr>
        <w:ind w:firstLine="420"/>
      </w:pPr>
      <w:r>
        <w:rPr>
          <w:rFonts w:hint="eastAsia"/>
        </w:rPr>
        <w:t>激烈的区际竞争刺激相城区为了“不输得更厉害”，进行大规模商务商业载体建设，反过来，大规模商务商业载体的完工与招商又使得地方政府及开发商、运营商面临窘境，为了尽可能“止损”，延续低端业态为主的发展状况，形成了商业业态的低端锁定与空间锁定。即使活力岛地区没有因未批先建而停业，运行前景也堪忧。</w:t>
      </w:r>
    </w:p>
    <w:p>
      <w:pPr>
        <w:pStyle w:val="3"/>
        <w:ind w:firstLine="422"/>
      </w:pPr>
      <w:r>
        <w:t>（</w:t>
      </w:r>
      <w:r>
        <w:rPr>
          <w:rFonts w:hint="eastAsia"/>
        </w:rPr>
        <w:t>四）交通组织不合理、慢行体验差</w:t>
      </w:r>
    </w:p>
    <w:p>
      <w:pPr>
        <w:ind w:firstLine="420"/>
      </w:pPr>
      <w:r>
        <w:rPr>
          <w:rFonts w:hint="eastAsia"/>
        </w:rPr>
        <w:t>相城区对外交通发达，密集的对外交通线网造成区内用地分隔、内部道路破碎及绕行等问题。根据苏州市公共交通有限公司数据，活力岛地区道路网密度偏低、公交线网密度仅1</w:t>
      </w:r>
      <w:r>
        <w:t>.65</w:t>
      </w:r>
      <w:r>
        <w:rPr>
          <w:rFonts w:hint="eastAsia"/>
        </w:rPr>
        <w:t>，而广义活力岛地区之外的辖区范围的公交线网密度大多在1以下。活力岛附近有4个地铁站，其中活力岛站最近。地铁活力岛站距离西岛人行道和车行道入口约0.4公里、距万人广场0.7公里、距离东岛人行道入口1.2公里。尽管拥有较为完整的慢行系统，但东西两岛及万人广场地形起伏较大导致自行车出行体验较差，行道树郁闭度极低导致5-10月晴天步行体验较差，道标及指示牌等的不足及设计、放置不合理使得情况更加恶化。2017年6月初，笔者组织两个5人小组以观察法和访谈法进行实地调研，以了解民众对苏州地铁4号线开通以后活力岛地区的公共交通组织绩效评价与开发潜力预期，在互不知情的情况下，两个小组的调研结果表明，活力岛区域公共交通换乘非常不方便、公交车等候时间过长、缺少人气，对短期内开发前景持悲观态度。</w:t>
      </w:r>
    </w:p>
    <w:p>
      <w:pPr>
        <w:pStyle w:val="3"/>
        <w:ind w:firstLine="422"/>
      </w:pPr>
      <w:r>
        <w:rPr>
          <w:rFonts w:hint="eastAsia"/>
        </w:rPr>
        <w:t>（五）城市设计亟需提升</w:t>
      </w:r>
    </w:p>
    <w:p>
      <w:pPr>
        <w:ind w:firstLine="420"/>
      </w:pPr>
      <w:r>
        <w:rPr>
          <w:rFonts w:hint="eastAsia"/>
        </w:rPr>
        <w:t>1.天际线地标缺失。活力岛地区在平面图上轮廓清晰、形象鲜明，但缺失CBD天际线景观特色，东西岛与万人广场完全淹没于周边的居民楼和商业商务楼中，名义地标相之门20余层、80米，实际用途为公寓，难以真正发挥地标作用。</w:t>
      </w:r>
    </w:p>
    <w:p>
      <w:pPr>
        <w:ind w:firstLine="420"/>
      </w:pPr>
      <w:r>
        <w:rPr>
          <w:rFonts w:hint="eastAsia"/>
        </w:rPr>
        <w:t>2.中轴线不突出。活力岛地区缺乏特色鲜明、形象宜人的中轴线。人民路是苏州古城的中轴线，人民路北延至活力岛万人广场附近分出两条支路，以桥梁形式与华元路以北地区相连，作为两条支路延伸的织锦路与金砖路两侧多为封闭式小区，仅有有限出口与道路相连，缺乏较为活跃的街道活动。</w:t>
      </w:r>
    </w:p>
    <w:p>
      <w:pPr>
        <w:ind w:firstLine="420"/>
      </w:pPr>
      <w:r>
        <w:rPr>
          <w:rFonts w:hint="eastAsia"/>
        </w:rPr>
        <w:t>3.景观与周边环境格格不入。突兀的传统欧式建筑群使得活力岛与周围的街区剥离，看上去更象一个游乐园。</w:t>
      </w:r>
    </w:p>
    <w:p>
      <w:pPr>
        <w:ind w:firstLine="420"/>
      </w:pPr>
      <w:r>
        <w:rPr>
          <w:rFonts w:hint="eastAsia"/>
        </w:rPr>
        <w:t>4.公共空间使用不足。活力岛公共空间设计时仅考虑到大型演艺活动或人流集散的功能需要，功能单一。如万人广场占地1</w:t>
      </w:r>
      <w:r>
        <w:t>80</w:t>
      </w:r>
      <w:r>
        <w:rPr>
          <w:rFonts w:hint="eastAsia"/>
        </w:rPr>
        <w:t>亩，可容纳1</w:t>
      </w:r>
      <w:r>
        <w:t>0</w:t>
      </w:r>
      <w:r>
        <w:rPr>
          <w:rFonts w:hint="eastAsia"/>
        </w:rPr>
        <w:t>万人，公共空间面积较大，除主舞台有天幕覆盖，沿朝阳河、沿华元路有极少量植被遮荫外，其余地区均为铺装路面，景色单调乏味、缺少吸引力；缺少座椅、亭台长廊等街道家具和设施，难以满足供民众休憩需要；两侧休息区没有任何商业活动、无法集聚人气。又如活力岛地铁站规模较小，仅具有人流集散功能，站内除了一台自动贩售机外没有规划和建设商业及其他功能，仅乘车区有少量金属长凳供乘客短暂停留，整个空间设计最大限度地满足通行功能需要、减少乘客停留愿望与时间。</w:t>
      </w:r>
    </w:p>
    <w:p>
      <w:pPr>
        <w:pStyle w:val="2"/>
        <w:ind w:firstLine="482"/>
      </w:pPr>
      <w:r>
        <w:rPr>
          <w:rFonts w:hint="eastAsia"/>
        </w:rPr>
        <w:t>三、活力岛TOD再开发的可行性分析</w:t>
      </w:r>
    </w:p>
    <w:p>
      <w:r>
        <w:rPr>
          <w:rFonts w:hint="eastAsia"/>
        </w:rPr>
        <w:t xml:space="preserve">    基于相城区所处的社会经济发展特征，广义活力岛地区“现代市级商业服务功能区”定位过高，“特大城市社区级商业中心”更为恰当，活力岛地区宜以精明增长、新城市主义理论为指导，进行TOD再开发。</w:t>
      </w:r>
    </w:p>
    <w:p>
      <w:pPr>
        <w:pStyle w:val="3"/>
        <w:ind w:firstLine="422"/>
      </w:pPr>
      <w:r>
        <w:rPr>
          <w:rFonts w:hint="eastAsia"/>
        </w:rPr>
        <w:t>（一）社区级TOD中心定位恰当</w:t>
      </w:r>
    </w:p>
    <w:p>
      <w:pPr>
        <w:ind w:firstLine="420"/>
      </w:pPr>
      <w:r>
        <w:rPr>
          <w:rFonts w:hint="eastAsia"/>
        </w:rPr>
        <w:t>相城区元和塘以东地区以商贸业为主，嘉元路两侧形成银行和金融机构集聚的景象。相城区金融业在一定程度上集中于嘉元路与华元路，集聚了四大行的支行、中翔金融大厦、苏州银行、中国人寿保险、中国太平洋人寿保险、交通银行、招商银行、兴业银行、民生银行、中国太平洋保险财产保险等金融保险机构。即使活力岛地区成功运营，也无法与相对成熟的元和塘以东商业中心抗衡。相城区被高速公路、高速铁路、高压走廊、河道沟塘等切割，道路密度低，社区级TOD中心定位既可以有效避开同质竞争，又为升级留下可能性。而且，根据廖什景观理论中低等级中心地也能够提供较高层次的功能，以及伯德区位三角形理论中专门化职能小城镇广泛的对外联系，社区级TOD中心定位并不会对活力岛地区的升级造成阻碍。</w:t>
      </w:r>
    </w:p>
    <w:p>
      <w:pPr>
        <w:pStyle w:val="3"/>
        <w:ind w:firstLine="422"/>
      </w:pPr>
      <w:r>
        <w:rPr>
          <w:rFonts w:hint="eastAsia"/>
        </w:rPr>
        <w:t>（二）社会经济实力提升为再开发提供基础</w:t>
      </w:r>
    </w:p>
    <w:p>
      <w:pPr>
        <w:ind w:firstLine="420"/>
      </w:pPr>
      <w:r>
        <w:rPr>
          <w:rFonts w:hint="eastAsia"/>
        </w:rPr>
        <w:t>经过多年积累，相城区GDP总量在2015年突破600亿元大关，GDP年增长速度由8%以上下降到7%，由快速增长阶段进入 “新常态”阶段；</w:t>
      </w:r>
      <w:r>
        <w:t>2017</w:t>
      </w:r>
      <w:r>
        <w:rPr>
          <w:rFonts w:hint="eastAsia"/>
        </w:rPr>
        <w:t>年，相城区G</w:t>
      </w:r>
      <w:r>
        <w:t>DP</w:t>
      </w:r>
      <w:r>
        <w:rPr>
          <w:rFonts w:hint="eastAsia"/>
        </w:rPr>
        <w:t>达到7</w:t>
      </w:r>
      <w:r>
        <w:t>13.82</w:t>
      </w:r>
      <w:r>
        <w:rPr>
          <w:rFonts w:hint="eastAsia"/>
        </w:rPr>
        <w:t>亿元，经济增速达到7</w:t>
      </w:r>
      <w:r>
        <w:t>.2%</w:t>
      </w:r>
      <w:r>
        <w:rPr>
          <w:rFonts w:hint="eastAsia"/>
        </w:rPr>
        <w:t>，三产产值比达到1</w:t>
      </w:r>
      <w:r>
        <w:t>.7%</w:t>
      </w:r>
      <w:r>
        <w:rPr>
          <w:rFonts w:hint="eastAsia"/>
        </w:rPr>
        <w:t>：4</w:t>
      </w:r>
      <w:r>
        <w:t>8.8%</w:t>
      </w:r>
      <w:r>
        <w:rPr>
          <w:rFonts w:hint="eastAsia"/>
        </w:rPr>
        <w:t>：4</w:t>
      </w:r>
      <w:r>
        <w:t>9.5%</w:t>
      </w:r>
      <w:r>
        <w:rPr>
          <w:rFonts w:hint="eastAsia"/>
        </w:rPr>
        <w:t>，形成“三二一”产业结构，一二三产产值增速分别达到4</w:t>
      </w:r>
      <w:r>
        <w:t>.9%</w:t>
      </w:r>
      <w:r>
        <w:rPr>
          <w:rFonts w:hint="eastAsia"/>
        </w:rPr>
        <w:t>、4</w:t>
      </w:r>
      <w:r>
        <w:t>.8%</w:t>
      </w:r>
      <w:r>
        <w:rPr>
          <w:rFonts w:hint="eastAsia"/>
        </w:rPr>
        <w:t>、9</w:t>
      </w:r>
      <w:r>
        <w:t>.7%</w:t>
      </w:r>
      <w:r>
        <w:rPr>
          <w:rFonts w:hint="eastAsia"/>
        </w:rPr>
        <w:t>。</w:t>
      </w:r>
      <w:r>
        <w:rPr>
          <w:vertAlign w:val="superscript"/>
        </w:rPr>
        <w:t>[9]</w:t>
      </w:r>
      <w:r>
        <w:rPr>
          <w:rFonts w:hint="eastAsia"/>
        </w:rPr>
        <w:t xml:space="preserve"> 根据钱纳里工业化发展阶段划分标准，工业化后期阶段基本结束，进入由后工业化阶段，面临中国制造2025及上海产业外溢的发展机遇，国内外经济下行、区际竞争加剧的发展挑战，相城区提出“相连相通、水乡水城”的战略定位，以建设“数字智谷、精致之都”为目标，大力发展“以‘高端部件’为主体的智能精造业、以‘数字经济’为核心的创意精致服务业、以‘江南水乡’为特色的休闲精致农业”</w:t>
      </w:r>
      <w:r>
        <w:rPr>
          <w:rStyle w:val="14"/>
        </w:rPr>
        <w:t xml:space="preserve"> </w:t>
      </w:r>
      <w:r>
        <w:rPr>
          <w:vertAlign w:val="superscript"/>
        </w:rPr>
        <w:t>[</w:t>
      </w:r>
      <w:r>
        <w:rPr>
          <w:rStyle w:val="14"/>
        </w:rPr>
        <w:endnoteReference w:id="13"/>
      </w:r>
      <w:r>
        <w:rPr>
          <w:vertAlign w:val="superscript"/>
        </w:rPr>
        <w:t>]</w:t>
      </w:r>
      <w:r>
        <w:rPr>
          <w:rFonts w:hint="eastAsia"/>
        </w:rPr>
        <w:t>。相城区社会经济进步、经济转型和产业规划实施为活力岛地区T</w:t>
      </w:r>
      <w:r>
        <w:t>OD</w:t>
      </w:r>
      <w:r>
        <w:rPr>
          <w:rFonts w:hint="eastAsia"/>
        </w:rPr>
        <w:t>再开发提供了基础。</w:t>
      </w:r>
    </w:p>
    <w:p>
      <w:pPr>
        <w:pStyle w:val="3"/>
        <w:ind w:firstLine="422"/>
      </w:pPr>
      <w:r>
        <w:rPr>
          <w:rFonts w:hint="eastAsia"/>
        </w:rPr>
        <w:t>（三）深化改革、依法行政为再开发提供保障</w:t>
      </w:r>
    </w:p>
    <w:p>
      <w:r>
        <w:rPr>
          <w:rFonts w:hint="eastAsia"/>
        </w:rPr>
        <w:t xml:space="preserve">    随着改革进入攻坚期和深水区，相城区进一步“创新行政管理体制”，“优化行政层级，发展新型功能区，探索扁平化管理新模式”，以“5张清单、1个平台、7项相关改革措施”为导向，加大简政放权，推动政务服务提速增效，进而有效简化办事流程、提高行政效率；推进价格、财政、投融资、商事体制改革，全面深化国资国企和村镇集体企业改革，加快建设社会主义市场经济体系，推动宏观调控与市场化资源配置的共赢，兼顾效率与公平。良好的体制机制为活力岛T</w:t>
      </w:r>
      <w:r>
        <w:t>OD</w:t>
      </w:r>
      <w:r>
        <w:rPr>
          <w:rFonts w:hint="eastAsia"/>
        </w:rPr>
        <w:t>再开发提供了强有力的制度、政策保障，也将进一步激发市场活力、增强投资者与经营者信心。</w:t>
      </w:r>
    </w:p>
    <w:p>
      <w:pPr>
        <w:pStyle w:val="3"/>
        <w:ind w:firstLine="422"/>
      </w:pPr>
      <w:r>
        <w:rPr>
          <w:rFonts w:hint="eastAsia"/>
        </w:rPr>
        <w:t>（四）道路建设及公交优化为再开发提供前提</w:t>
      </w:r>
    </w:p>
    <w:p>
      <w:pPr>
        <w:ind w:firstLine="420"/>
      </w:pPr>
      <w:r>
        <w:rPr>
          <w:rFonts w:hint="eastAsia"/>
        </w:rPr>
        <w:t>2014年苏州成功入选国家“公交都市”创建城市，以此为契机，相城区加快了道路及公共交通基础设施建设，常规公交车辆配置、路网、运营管理不断加强，轨道交通与常规交通的衔接不断优化。“十三五”期间，公交线网密度将由1</w:t>
      </w:r>
      <w:r>
        <w:t>.02</w:t>
      </w:r>
      <w:r>
        <w:rPr>
          <w:rFonts w:hint="eastAsia"/>
        </w:rPr>
        <w:t>提高到1</w:t>
      </w:r>
      <w:r>
        <w:t>.5</w:t>
      </w:r>
      <w:r>
        <w:rPr>
          <w:rFonts w:hint="eastAsia"/>
        </w:rPr>
        <w:t>，公交分担率将从2</w:t>
      </w:r>
      <w:r>
        <w:t>0%</w:t>
      </w:r>
      <w:r>
        <w:rPr>
          <w:rFonts w:hint="eastAsia"/>
        </w:rPr>
        <w:t>提高到2</w:t>
      </w:r>
      <w:r>
        <w:t>2%</w:t>
      </w:r>
      <w:r>
        <w:rPr>
          <w:rFonts w:hint="eastAsia"/>
        </w:rPr>
        <w:t>，公交运力将从6</w:t>
      </w:r>
      <w:r>
        <w:t>62</w:t>
      </w:r>
      <w:r>
        <w:rPr>
          <w:rFonts w:hint="eastAsia"/>
        </w:rPr>
        <w:t>辆提高到8</w:t>
      </w:r>
      <w:r>
        <w:t>60</w:t>
      </w:r>
      <w:r>
        <w:rPr>
          <w:rFonts w:hint="eastAsia"/>
        </w:rPr>
        <w:t>辆。</w:t>
      </w:r>
      <w:r>
        <w:rPr>
          <w:rFonts w:hint="eastAsia"/>
          <w:vertAlign w:val="superscript"/>
        </w:rPr>
        <w:t>[</w:t>
      </w:r>
      <w:r>
        <w:rPr>
          <w:rStyle w:val="14"/>
        </w:rPr>
        <w:endnoteReference w:id="14"/>
      </w:r>
      <w:r>
        <w:rPr>
          <w:vertAlign w:val="superscript"/>
        </w:rPr>
        <w:t>]</w:t>
      </w:r>
      <w:r>
        <w:rPr>
          <w:rFonts w:hint="eastAsia"/>
        </w:rPr>
        <w:t>公交服务质量提升，尤其是公交微循环的启动，为活力岛地区的T</w:t>
      </w:r>
      <w:r>
        <w:t>OD</w:t>
      </w:r>
      <w:r>
        <w:rPr>
          <w:rFonts w:hint="eastAsia"/>
        </w:rPr>
        <w:t>再开发奠定了基础。</w:t>
      </w:r>
    </w:p>
    <w:p>
      <w:r>
        <w:rPr>
          <w:rFonts w:hint="eastAsia"/>
        </w:rPr>
        <w:t xml:space="preserve">    活力岛地区可达性提升途径包括：（1）优化现有常规公交线网，加强与轨道交通的换乘。通过调整常规公交既有线路和增开社区巴士，增设招呼站，合理安排运营时间、班次等来提升公交服务水平及质量。（2）完善道路系统、加强与主岛与东西岛及周边地区的人行及自行车道系统，可适当引入空中缆车或浮桥等公共交通及游览兼备的项目，既提升活力岛地区的可达性，又增加其康体休闲吸引力。（3）完善活力岛附近公共自行车站点设置或增加无桩型公共自行车投放量，加强公共自行车管理。</w:t>
      </w:r>
    </w:p>
    <w:p>
      <w:pPr>
        <w:pStyle w:val="3"/>
        <w:ind w:firstLine="422"/>
      </w:pPr>
      <w:r>
        <w:rPr>
          <w:rFonts w:hint="eastAsia"/>
        </w:rPr>
        <w:t>（五）国家城市设计试点城市为再开发提供有效规划方法和手段</w:t>
      </w:r>
    </w:p>
    <w:p>
      <w:r>
        <w:rPr>
          <w:rFonts w:hint="eastAsia"/>
        </w:rPr>
        <w:t xml:space="preserve">    城市设计是促进城市发展转型的有效规划方法和手段，好的城市设计可以有效促进存量土地使用，改善街道设计和城市景观，增强场所感和地区的“粘着性”，吸引人气，提高宜居性。2016年2月，国务院出台《中共中央国务院关于进一步加强城市规划建设管理工作的若干意见》，提出要通过城市设计，从整体平面和立体看见上统筹城市建设布局，体现城市地域特征、民族特色和时代风貌。苏州入选首批国家城市设计试点城市。2017年7月27日，苏州市规划局公示了活力岛核心区域——中央商贸城地块的城市设计方案，规划范围北至春申湖西路、南至沈思港路、西至广济北路、东至元和塘，规划用地面积约1.79平方公里，规划将基地定位为“中央商务公园，花园商办综合体，休闲乐活新高地”，“商务办公错位发展，应对同质化竞争；丰富中心城区公园类型，提高公园品质；以绿化和公园增加整体区域感，使商业、办公、居住等协调共生”，“打造7*24小时活力都市中心”。</w:t>
      </w:r>
      <w:r>
        <w:rPr>
          <w:rFonts w:hint="eastAsia"/>
          <w:vertAlign w:val="superscript"/>
        </w:rPr>
        <w:t>[</w:t>
      </w:r>
      <w:r>
        <w:rPr>
          <w:rStyle w:val="14"/>
        </w:rPr>
        <w:endnoteReference w:id="15"/>
      </w:r>
      <w:r>
        <w:rPr>
          <w:vertAlign w:val="superscript"/>
        </w:rPr>
        <w:t>]</w:t>
      </w:r>
      <w:r>
        <w:rPr>
          <w:rFonts w:hint="eastAsia"/>
        </w:rPr>
        <w:t xml:space="preserve"> </w:t>
      </w:r>
    </w:p>
    <w:p>
      <w:pPr>
        <w:ind w:firstLine="420" w:firstLineChars="200"/>
      </w:pPr>
      <w:r>
        <w:rPr>
          <w:rFonts w:hint="eastAsia"/>
        </w:rPr>
        <w:t>尽管对“中央商务公园”的定位并不赞同，但此次公示在一定程度上预示着活力岛再开发已提上议事日程，也意味着活力岛城市设计项目有很大可能成为苏州国家城市设计试点项目之一，从而获得专业团队、设计质量、设计资金及其后实施管理方面的支撑与重视。TOD开发就是城市设计层面反对城市蔓延、重塑城市生活的微观开发模式之一，在打造“7*24小时活力”区域上具有不可比拟的优势。城市设计的国家试点项目启动为活力岛地区T</w:t>
      </w:r>
      <w:r>
        <w:t>OD</w:t>
      </w:r>
      <w:r>
        <w:rPr>
          <w:rFonts w:hint="eastAsia"/>
        </w:rPr>
        <w:t>再开发提供了更广阔的思路、有效的规划方法和手段，并能给予足够的制度支持确保其实施及管理。</w:t>
      </w:r>
    </w:p>
    <w:p>
      <w:pPr>
        <w:pStyle w:val="2"/>
        <w:ind w:firstLine="482"/>
      </w:pPr>
      <w:r>
        <w:rPr>
          <w:rFonts w:hint="eastAsia"/>
        </w:rPr>
        <w:t>结语</w:t>
      </w:r>
    </w:p>
    <w:p>
      <w:pPr>
        <w:ind w:firstLine="420"/>
      </w:pPr>
      <w:r>
        <w:rPr>
          <w:rFonts w:hint="eastAsia"/>
        </w:rPr>
        <w:t>由于政府城市营销策略的失败和市场失灵，在特大城市“退二进三”、新建商业中心过程中，不乏如活力岛地区有“城”无“业”、空置多年的失败案例。相较于直接拆除、重新进入土地市场流转的做法，在附近住宅入住率大幅提高、人气初步集聚的情况下，重新精准定位，进行TOD再开发，具有明显的经济、社会、生态、文化效益。对于如相城区一样的新城区更是如此。开发过程中，怎样充分调动政府及社会组织、规划师、设计师、周边社区、开发商、承租者、经营者、顾客等不同人群的积极性，增加社区居民对项目的认同感，增加项目的场所感，切实提高公众参与的层次与质量，却是最为关键的，也是需要进一步探索的。</w:t>
      </w:r>
    </w:p>
    <w:p>
      <w:pPr>
        <w:ind w:firstLine="420"/>
      </w:pPr>
    </w:p>
    <w:p>
      <w:pPr>
        <w:jc w:val="center"/>
      </w:pPr>
    </w:p>
    <w:sectPr>
      <w:footerReference r:id="rId5" w:type="default"/>
      <w:endnotePr>
        <w:numFmt w:val="decimal"/>
      </w:endnote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id="0">
    <w:p>
      <w:pPr>
        <w:pStyle w:val="6"/>
        <w:rPr>
          <w:b/>
        </w:rPr>
      </w:pPr>
      <w:r>
        <w:rPr>
          <w:rFonts w:hint="eastAsia"/>
          <w:b/>
        </w:rPr>
        <w:t>参考文献：</w:t>
      </w:r>
    </w:p>
    <w:p>
      <w:pPr>
        <w:rPr>
          <w:szCs w:val="21"/>
        </w:rPr>
      </w:pPr>
      <w:r>
        <w:rPr>
          <w:szCs w:val="21"/>
        </w:rPr>
        <w:t>[</w:t>
      </w:r>
      <w:r>
        <w:rPr>
          <w:rStyle w:val="14"/>
          <w:szCs w:val="21"/>
          <w:vertAlign w:val="baseline"/>
        </w:rPr>
        <w:endnoteRef/>
      </w:r>
      <w:r>
        <w:rPr>
          <w:szCs w:val="21"/>
        </w:rPr>
        <w:t xml:space="preserve">] </w:t>
      </w:r>
      <w:r>
        <w:rPr>
          <w:rFonts w:hint="eastAsia"/>
          <w:szCs w:val="21"/>
        </w:rPr>
        <w:t xml:space="preserve">马强. 近年来北美关于“TOD”的研究进展[J]. 国外城市规划, 2003, </w:t>
      </w:r>
      <w:r>
        <w:rPr>
          <w:szCs w:val="21"/>
        </w:rPr>
        <w:t>18</w:t>
      </w:r>
      <w:r>
        <w:rPr>
          <w:rFonts w:hint="eastAsia"/>
          <w:szCs w:val="21"/>
        </w:rPr>
        <w:t>(</w:t>
      </w:r>
      <w:r>
        <w:rPr>
          <w:szCs w:val="21"/>
        </w:rPr>
        <w:t>S1</w:t>
      </w:r>
      <w:r>
        <w:rPr>
          <w:rFonts w:hint="eastAsia"/>
          <w:szCs w:val="21"/>
        </w:rPr>
        <w:t>):</w:t>
      </w:r>
      <w:r>
        <w:rPr>
          <w:szCs w:val="21"/>
        </w:rPr>
        <w:t xml:space="preserve"> 49-54.</w:t>
      </w:r>
    </w:p>
  </w:endnote>
  <w:endnote w:id="1">
    <w:p>
      <w:pPr>
        <w:rPr>
          <w:szCs w:val="21"/>
        </w:rPr>
      </w:pPr>
      <w:r>
        <w:rPr>
          <w:szCs w:val="21"/>
        </w:rPr>
        <w:t>[</w:t>
      </w:r>
      <w:r>
        <w:rPr>
          <w:rStyle w:val="14"/>
          <w:szCs w:val="21"/>
          <w:vertAlign w:val="baseline"/>
        </w:rPr>
        <w:endnoteRef/>
      </w:r>
      <w:r>
        <w:rPr>
          <w:szCs w:val="21"/>
        </w:rPr>
        <w:t xml:space="preserve">] </w:t>
      </w:r>
      <w:r>
        <w:rPr>
          <w:rFonts w:hint="eastAsia"/>
          <w:szCs w:val="21"/>
        </w:rPr>
        <w:t xml:space="preserve">任春洋. 美国公共交通导向发展模式（TOD）的理论发展脉络分析[J]. 国际城市规划, 2010, </w:t>
      </w:r>
      <w:r>
        <w:rPr>
          <w:szCs w:val="21"/>
        </w:rPr>
        <w:t>25</w:t>
      </w:r>
      <w:r>
        <w:rPr>
          <w:rFonts w:hint="eastAsia"/>
          <w:szCs w:val="21"/>
        </w:rPr>
        <w:t>(4)</w:t>
      </w:r>
      <w:r>
        <w:rPr>
          <w:szCs w:val="21"/>
        </w:rPr>
        <w:t>: 92-99.</w:t>
      </w:r>
    </w:p>
  </w:endnote>
  <w:endnote w:id="2">
    <w:p>
      <w:pPr>
        <w:rPr>
          <w:szCs w:val="21"/>
        </w:rPr>
      </w:pPr>
      <w:r>
        <w:rPr>
          <w:szCs w:val="21"/>
        </w:rPr>
        <w:t>[</w:t>
      </w:r>
      <w:r>
        <w:rPr>
          <w:rStyle w:val="14"/>
          <w:szCs w:val="21"/>
          <w:vertAlign w:val="baseline"/>
        </w:rPr>
        <w:endnoteRef/>
      </w:r>
      <w:r>
        <w:rPr>
          <w:szCs w:val="21"/>
        </w:rPr>
        <w:t xml:space="preserve">] </w:t>
      </w:r>
      <w:r>
        <w:rPr>
          <w:rFonts w:hint="eastAsia"/>
          <w:szCs w:val="21"/>
        </w:rPr>
        <w:t xml:space="preserve">冯俊, 徐康明. 哥本哈根TOD模式研究[J]. 城市交通, 2006, </w:t>
      </w:r>
      <w:r>
        <w:rPr>
          <w:szCs w:val="21"/>
        </w:rPr>
        <w:t>4</w:t>
      </w:r>
      <w:r>
        <w:rPr>
          <w:rFonts w:hint="eastAsia"/>
          <w:szCs w:val="21"/>
        </w:rPr>
        <w:t>(2)</w:t>
      </w:r>
      <w:r>
        <w:rPr>
          <w:szCs w:val="21"/>
        </w:rPr>
        <w:t>: 44-49.</w:t>
      </w:r>
    </w:p>
  </w:endnote>
  <w:endnote w:id="3">
    <w:p>
      <w:pPr>
        <w:rPr>
          <w:szCs w:val="21"/>
        </w:rPr>
      </w:pPr>
      <w:r>
        <w:rPr>
          <w:szCs w:val="21"/>
        </w:rPr>
        <w:t>[</w:t>
      </w:r>
      <w:r>
        <w:rPr>
          <w:rStyle w:val="14"/>
          <w:szCs w:val="21"/>
          <w:vertAlign w:val="baseline"/>
        </w:rPr>
        <w:endnoteRef/>
      </w:r>
      <w:r>
        <w:rPr>
          <w:szCs w:val="21"/>
        </w:rPr>
        <w:t xml:space="preserve">] </w:t>
      </w:r>
      <w:r>
        <w:rPr>
          <w:rFonts w:hint="eastAsia"/>
          <w:szCs w:val="21"/>
        </w:rPr>
        <w:t>金鑫, 张艳, 陈燕萍</w:t>
      </w:r>
      <w:r>
        <w:rPr>
          <w:color w:val="FF0000"/>
          <w:szCs w:val="21"/>
        </w:rPr>
        <w:t xml:space="preserve">, </w:t>
      </w:r>
      <w:r>
        <w:rPr>
          <w:rFonts w:hint="eastAsia"/>
          <w:szCs w:val="21"/>
        </w:rPr>
        <w:t>等. 探索适合中国特征的TOD开发模式[J]. 规划师, 2011, 27(10): 66-70.</w:t>
      </w:r>
    </w:p>
  </w:endnote>
  <w:endnote w:id="4">
    <w:p>
      <w:pPr>
        <w:rPr>
          <w:szCs w:val="21"/>
        </w:rPr>
      </w:pPr>
      <w:r>
        <w:rPr>
          <w:szCs w:val="21"/>
        </w:rPr>
        <w:t>[</w:t>
      </w:r>
      <w:r>
        <w:rPr>
          <w:rStyle w:val="14"/>
          <w:szCs w:val="21"/>
          <w:vertAlign w:val="baseline"/>
        </w:rPr>
        <w:endnoteRef/>
      </w:r>
      <w:r>
        <w:rPr>
          <w:szCs w:val="21"/>
        </w:rPr>
        <w:t xml:space="preserve">] </w:t>
      </w:r>
      <w:r>
        <w:rPr>
          <w:rFonts w:hint="eastAsia"/>
          <w:szCs w:val="21"/>
        </w:rPr>
        <w:t>张明, 刘菁. 适合中国城市特征的TOD规划设计原则[J]. 城市规划学刊, 2007, (1)</w:t>
      </w:r>
      <w:r>
        <w:rPr>
          <w:szCs w:val="21"/>
        </w:rPr>
        <w:t>: 91-96.</w:t>
      </w:r>
    </w:p>
  </w:endnote>
  <w:endnote w:id="5">
    <w:p>
      <w:pPr>
        <w:rPr>
          <w:szCs w:val="21"/>
        </w:rPr>
      </w:pPr>
      <w:r>
        <w:rPr>
          <w:szCs w:val="21"/>
        </w:rPr>
        <w:t>[</w:t>
      </w:r>
      <w:r>
        <w:rPr>
          <w:rStyle w:val="14"/>
          <w:szCs w:val="21"/>
          <w:vertAlign w:val="baseline"/>
        </w:rPr>
        <w:endnoteRef/>
      </w:r>
      <w:r>
        <w:rPr>
          <w:szCs w:val="21"/>
        </w:rPr>
        <w:t xml:space="preserve">] </w:t>
      </w:r>
      <w:r>
        <w:rPr>
          <w:rFonts w:hint="eastAsia"/>
          <w:szCs w:val="21"/>
        </w:rPr>
        <w:t>刘鹏, 马丽丽, 朱黎明</w:t>
      </w:r>
      <w:r>
        <w:rPr>
          <w:rFonts w:hint="eastAsia"/>
          <w:color w:val="FF0000"/>
          <w:szCs w:val="21"/>
        </w:rPr>
        <w:t>,</w:t>
      </w:r>
      <w:r>
        <w:rPr>
          <w:color w:val="FF0000"/>
          <w:szCs w:val="21"/>
        </w:rPr>
        <w:t xml:space="preserve"> </w:t>
      </w:r>
      <w:r>
        <w:rPr>
          <w:rFonts w:hint="eastAsia"/>
          <w:szCs w:val="21"/>
        </w:rPr>
        <w:t>等. E-TOD理念下的都市边缘区轨道交通站点周边开发策略[J]. 规划师, 2017, (7)</w:t>
      </w:r>
      <w:r>
        <w:rPr>
          <w:szCs w:val="21"/>
        </w:rPr>
        <w:t>: 142-148.</w:t>
      </w:r>
    </w:p>
  </w:endnote>
  <w:endnote w:id="6">
    <w:p>
      <w:pPr>
        <w:widowControl/>
        <w:spacing w:line="440" w:lineRule="atLeast"/>
        <w:ind w:right="315"/>
        <w:jc w:val="left"/>
        <w:rPr>
          <w:szCs w:val="21"/>
        </w:rPr>
      </w:pPr>
      <w:r>
        <w:rPr>
          <w:szCs w:val="21"/>
        </w:rPr>
        <w:t>[</w:t>
      </w:r>
      <w:r>
        <w:rPr>
          <w:rStyle w:val="14"/>
          <w:szCs w:val="21"/>
          <w:vertAlign w:val="baseline"/>
        </w:rPr>
        <w:endnoteRef/>
      </w:r>
      <w:r>
        <w:rPr>
          <w:szCs w:val="21"/>
        </w:rPr>
        <w:t xml:space="preserve">] </w:t>
      </w:r>
      <w:r>
        <w:rPr>
          <w:rFonts w:hint="eastAsia"/>
          <w:szCs w:val="21"/>
        </w:rPr>
        <w:t>田宗星, 李贵才. 基于TOD的城市更新策略探析——以深圳龙华新区为例[J/OL].国际城市规划.</w:t>
      </w:r>
      <w:r>
        <w:rPr>
          <w:szCs w:val="21"/>
        </w:rPr>
        <w:t xml:space="preserve"> </w:t>
      </w:r>
      <w:r>
        <w:rPr>
          <w:rFonts w:hint="eastAsia"/>
          <w:szCs w:val="21"/>
        </w:rPr>
        <w:t>(2017-03-29)</w:t>
      </w:r>
      <w:r>
        <w:rPr>
          <w:szCs w:val="21"/>
        </w:rPr>
        <w:t>[2017-9-30]</w:t>
      </w:r>
      <w:r>
        <w:rPr>
          <w:rFonts w:hint="eastAsia"/>
          <w:szCs w:val="21"/>
        </w:rPr>
        <w:t>.</w:t>
      </w:r>
    </w:p>
    <w:p>
      <w:pPr>
        <w:rPr>
          <w:szCs w:val="21"/>
        </w:rPr>
      </w:pPr>
      <w:r>
        <w:rPr>
          <w:rFonts w:hint="eastAsia"/>
          <w:szCs w:val="21"/>
        </w:rPr>
        <w:t xml:space="preserve"> http://kns.cnki.net/kcms/detail/11.5583.TU.20170329.1056.002.html .  </w:t>
      </w:r>
    </w:p>
  </w:endnote>
  <w:endnote w:id="7">
    <w:p>
      <w:pPr>
        <w:rPr>
          <w:rFonts w:asciiTheme="minorEastAsia" w:hAnsiTheme="minorEastAsia"/>
          <w:szCs w:val="21"/>
        </w:rPr>
      </w:pPr>
      <w:r>
        <w:rPr>
          <w:rFonts w:asciiTheme="minorEastAsia" w:hAnsiTheme="minorEastAsia"/>
          <w:szCs w:val="21"/>
        </w:rPr>
        <w:t>[</w:t>
      </w:r>
      <w:r>
        <w:rPr>
          <w:rStyle w:val="14"/>
          <w:rFonts w:asciiTheme="minorEastAsia" w:hAnsiTheme="minorEastAsia"/>
          <w:szCs w:val="21"/>
          <w:vertAlign w:val="baseline"/>
        </w:rPr>
        <w:endnoteRef/>
      </w:r>
      <w:r>
        <w:rPr>
          <w:rFonts w:asciiTheme="minorEastAsia" w:hAnsiTheme="minorEastAsia"/>
          <w:szCs w:val="21"/>
        </w:rPr>
        <w:t xml:space="preserve">] </w:t>
      </w:r>
      <w:r>
        <w:rPr>
          <w:rFonts w:hint="eastAsia" w:asciiTheme="minorEastAsia" w:hAnsiTheme="minorEastAsia"/>
          <w:szCs w:val="21"/>
        </w:rPr>
        <w:t>中国－新加坡苏州工业园区</w:t>
      </w:r>
      <w:r>
        <w:rPr>
          <w:rFonts w:asciiTheme="minorEastAsia" w:hAnsiTheme="minorEastAsia"/>
          <w:szCs w:val="21"/>
        </w:rPr>
        <w:t xml:space="preserve">. </w:t>
      </w:r>
      <w:r>
        <w:rPr>
          <w:rFonts w:hint="eastAsia" w:asciiTheme="minorEastAsia" w:hAnsiTheme="minorEastAsia"/>
          <w:szCs w:val="21"/>
        </w:rPr>
        <w:t>服务业发展指南[</w:t>
      </w:r>
      <w:r>
        <w:rPr>
          <w:rFonts w:asciiTheme="minorEastAsia" w:hAnsiTheme="minorEastAsia"/>
          <w:szCs w:val="21"/>
        </w:rPr>
        <w:t>EB/OL].(2011-7-11)[2017-9-30].</w:t>
      </w:r>
    </w:p>
    <w:p>
      <w:pPr>
        <w:rPr>
          <w:rFonts w:asciiTheme="minorEastAsia" w:hAnsiTheme="minorEastAsia"/>
          <w:szCs w:val="21"/>
        </w:rPr>
      </w:pPr>
      <w:r>
        <w:rPr>
          <w:szCs w:val="21"/>
        </w:rPr>
        <w:t>http://www.sipac.gov.cn/tzzn/fwy/201107/t20110711_103947.htm</w:t>
      </w:r>
      <w:r>
        <w:rPr>
          <w:rFonts w:asciiTheme="minorEastAsia" w:hAnsiTheme="minorEastAsia"/>
          <w:szCs w:val="21"/>
        </w:rPr>
        <w:t>.</w:t>
      </w:r>
    </w:p>
  </w:endnote>
  <w:endnote w:id="8">
    <w:p>
      <w:pPr>
        <w:pStyle w:val="6"/>
      </w:pPr>
      <w:r>
        <w:t>[</w:t>
      </w:r>
      <w:r>
        <w:rPr>
          <w:rStyle w:val="14"/>
          <w:vertAlign w:val="baseline"/>
        </w:rPr>
        <w:endnoteRef/>
      </w:r>
      <w:r>
        <w:t xml:space="preserve">] </w:t>
      </w:r>
      <w:r>
        <w:rPr>
          <w:rFonts w:hint="eastAsia"/>
        </w:rPr>
        <w:t>苏州市统计局.</w:t>
      </w:r>
      <w:r>
        <w:t xml:space="preserve"> </w:t>
      </w:r>
      <w:r>
        <w:rPr>
          <w:rFonts w:hint="eastAsia"/>
        </w:rPr>
        <w:t>表1</w:t>
      </w:r>
      <w:r>
        <w:t xml:space="preserve">-14 </w:t>
      </w:r>
      <w:r>
        <w:rPr>
          <w:rFonts w:hint="eastAsia"/>
        </w:rPr>
        <w:t>分地区生产总值（2</w:t>
      </w:r>
      <w:r>
        <w:t>017</w:t>
      </w:r>
      <w:r>
        <w:rPr>
          <w:rFonts w:hint="eastAsia"/>
        </w:rPr>
        <w:t>年）[</w:t>
      </w:r>
      <w:r>
        <w:t>EB/OL]. (2018-8-10)[2019-3-10], http://www.sztjj.gov.cn/sztjjgzw/tjnj/2018/zk/indexch.htm.</w:t>
      </w:r>
    </w:p>
  </w:endnote>
  <w:endnote w:id="9">
    <w:p>
      <w:pPr>
        <w:rPr>
          <w:rFonts w:ascii="宋体" w:hAnsi="宋体" w:cs="Arial"/>
          <w:b/>
          <w:bCs/>
          <w:color w:val="FF0000"/>
          <w:kern w:val="0"/>
          <w:szCs w:val="21"/>
        </w:rPr>
      </w:pPr>
      <w:r>
        <w:t>[</w:t>
      </w:r>
      <w:r>
        <w:endnoteRef/>
      </w:r>
      <w:r>
        <w:t xml:space="preserve">] </w:t>
      </w:r>
      <w:r>
        <w:rPr>
          <w:rFonts w:hint="eastAsia"/>
        </w:rPr>
        <w:t>苏州市统计局.表2-2</w:t>
      </w:r>
      <w:r>
        <w:t xml:space="preserve"> </w:t>
      </w:r>
      <w:r>
        <w:rPr>
          <w:rFonts w:hint="eastAsia"/>
        </w:rPr>
        <w:t>分地区常住人口[</w:t>
      </w:r>
      <w:r>
        <w:t>EB/OL</w:t>
      </w:r>
      <w:r>
        <w:rPr>
          <w:rFonts w:hint="eastAsia"/>
        </w:rPr>
        <w:t>]</w:t>
      </w:r>
      <w:r>
        <w:t xml:space="preserve">. (2018-8-10)[2019-3-10], </w:t>
      </w:r>
      <w:r>
        <w:rPr>
          <w:szCs w:val="21"/>
        </w:rPr>
        <w:t>http://www.sztjj.gov.cn/sztjjgzw/tjnj/2018/zk/indexch.htm.</w:t>
      </w:r>
    </w:p>
  </w:endnote>
  <w:endnote w:id="10">
    <w:p>
      <w:pPr>
        <w:pStyle w:val="6"/>
      </w:pPr>
      <w:r>
        <w:t>[</w:t>
      </w:r>
      <w:r>
        <w:rPr>
          <w:rStyle w:val="14"/>
          <w:vertAlign w:val="baseline"/>
        </w:rPr>
        <w:endnoteRef/>
      </w:r>
      <w:r>
        <w:t xml:space="preserve">] </w:t>
      </w:r>
      <w:r>
        <w:rPr>
          <w:rFonts w:hint="eastAsia"/>
        </w:rPr>
        <w:t>苏州市统计局.</w:t>
      </w:r>
      <w:r>
        <w:t xml:space="preserve"> </w:t>
      </w:r>
      <w:r>
        <w:rPr>
          <w:rFonts w:hint="eastAsia"/>
        </w:rPr>
        <w:t>表1</w:t>
      </w:r>
      <w:r>
        <w:t xml:space="preserve">-10 </w:t>
      </w:r>
      <w:r>
        <w:rPr>
          <w:rFonts w:hint="eastAsia"/>
        </w:rPr>
        <w:t>历年地区生产总值[</w:t>
      </w:r>
      <w:r>
        <w:t>EB/OL]. (2018-8-10)[2019-3-10], http://www.sztjj.gov.cn/sztjjgzw/tjnj/2018/zk/indexch.htm.</w:t>
      </w:r>
    </w:p>
  </w:endnote>
  <w:endnote w:id="11">
    <w:p>
      <w:pPr>
        <w:rPr>
          <w:szCs w:val="21"/>
        </w:rPr>
      </w:pPr>
      <w:r>
        <w:rPr>
          <w:szCs w:val="21"/>
        </w:rPr>
        <w:t>[</w:t>
      </w:r>
      <w:r>
        <w:rPr>
          <w:rStyle w:val="14"/>
          <w:szCs w:val="21"/>
          <w:vertAlign w:val="baseline"/>
        </w:rPr>
        <w:endnoteRef/>
      </w:r>
      <w:r>
        <w:rPr>
          <w:szCs w:val="21"/>
        </w:rPr>
        <w:t xml:space="preserve">] </w:t>
      </w:r>
      <w:r>
        <w:rPr>
          <w:rFonts w:hint="eastAsia"/>
          <w:szCs w:val="21"/>
        </w:rPr>
        <w:t>上海统计.</w:t>
      </w:r>
      <w:r>
        <w:rPr>
          <w:szCs w:val="21"/>
        </w:rPr>
        <w:t xml:space="preserve"> </w:t>
      </w:r>
      <w:r>
        <w:rPr>
          <w:rFonts w:hint="eastAsia"/>
          <w:szCs w:val="21"/>
        </w:rPr>
        <w:t>2018年上海市国民经济和社会发展统计公报</w:t>
      </w:r>
      <w:r>
        <w:rPr>
          <w:rFonts w:hint="eastAsia" w:asciiTheme="minorEastAsia" w:hAnsiTheme="minorEastAsia"/>
          <w:szCs w:val="21"/>
        </w:rPr>
        <w:t>[</w:t>
      </w:r>
      <w:r>
        <w:rPr>
          <w:rFonts w:asciiTheme="minorEastAsia" w:hAnsiTheme="minorEastAsia"/>
          <w:szCs w:val="21"/>
        </w:rPr>
        <w:t>EB/OL]</w:t>
      </w:r>
      <w:r>
        <w:rPr>
          <w:szCs w:val="21"/>
        </w:rPr>
        <w:t>.</w:t>
      </w:r>
      <w:r>
        <w:rPr>
          <w:rFonts w:hint="eastAsia"/>
          <w:szCs w:val="21"/>
        </w:rPr>
        <w:t xml:space="preserve"> </w:t>
      </w:r>
      <w:r>
        <w:rPr>
          <w:szCs w:val="21"/>
        </w:rPr>
        <w:t>(</w:t>
      </w:r>
      <w:r>
        <w:rPr>
          <w:rFonts w:hint="eastAsia"/>
          <w:szCs w:val="21"/>
        </w:rPr>
        <w:t>201</w:t>
      </w:r>
      <w:r>
        <w:rPr>
          <w:szCs w:val="21"/>
        </w:rPr>
        <w:t>9</w:t>
      </w:r>
      <w:r>
        <w:rPr>
          <w:rFonts w:hint="eastAsia"/>
          <w:szCs w:val="21"/>
        </w:rPr>
        <w:t>-</w:t>
      </w:r>
      <w:r>
        <w:rPr>
          <w:szCs w:val="21"/>
        </w:rPr>
        <w:t>3</w:t>
      </w:r>
      <w:r>
        <w:rPr>
          <w:rFonts w:hint="eastAsia"/>
          <w:szCs w:val="21"/>
        </w:rPr>
        <w:t>-</w:t>
      </w:r>
      <w:r>
        <w:rPr>
          <w:szCs w:val="21"/>
        </w:rPr>
        <w:t>1)[2019-3-10]. http://www.stats-sh.gov.cn/html/sjfb/201903/1003219.html.</w:t>
      </w:r>
    </w:p>
  </w:endnote>
  <w:endnote w:id="12">
    <w:p>
      <w:pPr>
        <w:rPr>
          <w:szCs w:val="21"/>
        </w:rPr>
      </w:pPr>
      <w:r>
        <w:rPr>
          <w:szCs w:val="21"/>
        </w:rPr>
        <w:t>[</w:t>
      </w:r>
      <w:r>
        <w:rPr>
          <w:rStyle w:val="14"/>
          <w:szCs w:val="21"/>
          <w:vertAlign w:val="baseline"/>
        </w:rPr>
        <w:endnoteRef/>
      </w:r>
      <w:r>
        <w:rPr>
          <w:szCs w:val="21"/>
        </w:rPr>
        <w:t xml:space="preserve">] </w:t>
      </w:r>
      <w:r>
        <w:rPr>
          <w:rFonts w:hint="eastAsia"/>
          <w:szCs w:val="21"/>
        </w:rPr>
        <w:t>苏州市人民政府. 2</w:t>
      </w:r>
      <w:r>
        <w:rPr>
          <w:szCs w:val="21"/>
        </w:rPr>
        <w:t>018</w:t>
      </w:r>
      <w:r>
        <w:rPr>
          <w:rFonts w:hint="eastAsia"/>
          <w:szCs w:val="21"/>
        </w:rPr>
        <w:t>年苏州市国民经济和社会发展统计公报</w:t>
      </w:r>
      <w:r>
        <w:rPr>
          <w:rFonts w:hint="eastAsia" w:asciiTheme="minorEastAsia" w:hAnsiTheme="minorEastAsia"/>
          <w:szCs w:val="21"/>
        </w:rPr>
        <w:t>[</w:t>
      </w:r>
      <w:r>
        <w:rPr>
          <w:rFonts w:asciiTheme="minorEastAsia" w:hAnsiTheme="minorEastAsia"/>
          <w:szCs w:val="21"/>
        </w:rPr>
        <w:t>EB/OL].</w:t>
      </w:r>
      <w:r>
        <w:rPr>
          <w:rFonts w:hint="eastAsia"/>
          <w:szCs w:val="21"/>
        </w:rPr>
        <w:t xml:space="preserve"> </w:t>
      </w:r>
      <w:r>
        <w:rPr>
          <w:szCs w:val="21"/>
        </w:rPr>
        <w:t>(</w:t>
      </w:r>
      <w:r>
        <w:rPr>
          <w:rFonts w:hint="eastAsia"/>
          <w:szCs w:val="21"/>
        </w:rPr>
        <w:t>201</w:t>
      </w:r>
      <w:r>
        <w:rPr>
          <w:szCs w:val="21"/>
        </w:rPr>
        <w:t xml:space="preserve">9-1-2)[2019-3-10]. </w:t>
      </w:r>
      <w:r>
        <w:t>https://www.suzhou.gov.cn/news/szxw/201901/t20190121_1041912.shtml?from=groupmessage.</w:t>
      </w:r>
    </w:p>
  </w:endnote>
  <w:endnote w:id="13">
    <w:p>
      <w:pPr>
        <w:rPr>
          <w:sz w:val="18"/>
          <w:szCs w:val="18"/>
        </w:rPr>
      </w:pPr>
      <w:r>
        <w:rPr>
          <w:rFonts w:hint="eastAsia"/>
          <w:szCs w:val="21"/>
        </w:rPr>
        <w:t>[</w:t>
      </w:r>
      <w:r>
        <w:rPr>
          <w:szCs w:val="21"/>
        </w:rPr>
        <w:endnoteRef/>
      </w:r>
      <w:r>
        <w:rPr>
          <w:szCs w:val="21"/>
        </w:rPr>
        <w:t xml:space="preserve">] </w:t>
      </w:r>
      <w:r>
        <w:rPr>
          <w:rFonts w:hint="eastAsia"/>
          <w:szCs w:val="21"/>
        </w:rPr>
        <w:t>苏州市发展研究院, 苏州大学空间规划研究院, 复旦大学全球投资与贸易研究中心, 等.相城区产业发展战略研究[R], 苏州:</w:t>
      </w:r>
      <w:r>
        <w:rPr>
          <w:szCs w:val="21"/>
        </w:rPr>
        <w:t xml:space="preserve"> </w:t>
      </w:r>
      <w:r>
        <w:rPr>
          <w:rFonts w:hint="eastAsia"/>
          <w:szCs w:val="21"/>
        </w:rPr>
        <w:t>苏州博雅达勘测规划设计有限公司. 2017</w:t>
      </w:r>
      <w:r>
        <w:rPr>
          <w:szCs w:val="21"/>
        </w:rPr>
        <w:t>: 98.</w:t>
      </w:r>
    </w:p>
  </w:endnote>
  <w:endnote w:id="14">
    <w:p>
      <w:pPr>
        <w:widowControl/>
        <w:spacing w:line="440" w:lineRule="atLeast"/>
        <w:ind w:right="315"/>
        <w:rPr>
          <w:color w:val="FF0000"/>
          <w:szCs w:val="21"/>
        </w:rPr>
      </w:pPr>
      <w:r>
        <w:rPr>
          <w:szCs w:val="21"/>
        </w:rPr>
        <w:t>[</w:t>
      </w:r>
      <w:r>
        <w:rPr>
          <w:rStyle w:val="14"/>
          <w:szCs w:val="21"/>
          <w:vertAlign w:val="baseline"/>
        </w:rPr>
        <w:endnoteRef/>
      </w:r>
      <w:r>
        <w:rPr>
          <w:szCs w:val="21"/>
        </w:rPr>
        <w:t xml:space="preserve">] </w:t>
      </w:r>
      <w:r>
        <w:rPr>
          <w:rFonts w:hint="eastAsia"/>
          <w:szCs w:val="21"/>
        </w:rPr>
        <w:t>苏州市相城区交通运输局, 苏州规划设计研究院股份有限公司. 相城区“十三五”公交发展规划[R], 苏州：苏州规划设计研究院股份有限公司,</w:t>
      </w:r>
      <w:r>
        <w:rPr>
          <w:szCs w:val="21"/>
        </w:rPr>
        <w:t xml:space="preserve"> </w:t>
      </w:r>
      <w:r>
        <w:rPr>
          <w:rFonts w:hint="eastAsia"/>
          <w:szCs w:val="21"/>
        </w:rPr>
        <w:t>2015</w:t>
      </w:r>
      <w:r>
        <w:rPr>
          <w:szCs w:val="21"/>
        </w:rPr>
        <w:t>:13</w:t>
      </w:r>
      <w:r>
        <w:rPr>
          <w:rFonts w:hint="eastAsia" w:ascii="宋体" w:hAnsi="宋体" w:cs="Arial"/>
          <w:b/>
          <w:bCs/>
          <w:kern w:val="0"/>
          <w:szCs w:val="21"/>
        </w:rPr>
        <w:t>.</w:t>
      </w:r>
    </w:p>
  </w:endnote>
  <w:endnote w:id="15">
    <w:p>
      <w:pPr>
        <w:rPr>
          <w:szCs w:val="21"/>
        </w:rPr>
      </w:pPr>
      <w:r>
        <w:rPr>
          <w:szCs w:val="21"/>
        </w:rPr>
        <w:t>[</w:t>
      </w:r>
      <w:r>
        <w:rPr>
          <w:rStyle w:val="14"/>
          <w:szCs w:val="21"/>
          <w:vertAlign w:val="baseline"/>
        </w:rPr>
        <w:endnoteRef/>
      </w:r>
      <w:r>
        <w:rPr>
          <w:szCs w:val="21"/>
        </w:rPr>
        <w:t xml:space="preserve">] </w:t>
      </w:r>
      <w:r>
        <w:rPr>
          <w:rFonts w:hint="eastAsia"/>
          <w:szCs w:val="21"/>
        </w:rPr>
        <w:t>江苏都市网. 相城区中央商贸城地块城市设计方案公示</w:t>
      </w:r>
      <w:r>
        <w:rPr>
          <w:rFonts w:hint="eastAsia" w:asciiTheme="minorEastAsia" w:hAnsiTheme="minorEastAsia"/>
          <w:szCs w:val="21"/>
        </w:rPr>
        <w:t>[</w:t>
      </w:r>
      <w:r>
        <w:rPr>
          <w:rFonts w:asciiTheme="minorEastAsia" w:hAnsiTheme="minorEastAsia"/>
          <w:szCs w:val="21"/>
        </w:rPr>
        <w:t>EB/OL]</w:t>
      </w:r>
      <w:r>
        <w:rPr>
          <w:rFonts w:hint="eastAsia"/>
          <w:szCs w:val="21"/>
        </w:rPr>
        <w:t xml:space="preserve">. </w:t>
      </w:r>
      <w:r>
        <w:rPr>
          <w:szCs w:val="21"/>
        </w:rPr>
        <w:t>(</w:t>
      </w:r>
      <w:r>
        <w:rPr>
          <w:rFonts w:hint="eastAsia"/>
          <w:szCs w:val="21"/>
        </w:rPr>
        <w:t>2017-8-28</w:t>
      </w:r>
      <w:r>
        <w:rPr>
          <w:szCs w:val="21"/>
        </w:rPr>
        <w:t>)[</w:t>
      </w:r>
      <w:r>
        <w:rPr>
          <w:rFonts w:hint="eastAsia"/>
          <w:szCs w:val="21"/>
        </w:rPr>
        <w:t>2017-9-30</w:t>
      </w:r>
      <w:r>
        <w:rPr>
          <w:szCs w:val="21"/>
        </w:rPr>
        <w:t>].</w:t>
      </w:r>
    </w:p>
    <w:p>
      <w:pPr>
        <w:rPr>
          <w:szCs w:val="21"/>
        </w:rPr>
      </w:pPr>
      <w:r>
        <w:rPr>
          <w:szCs w:val="21"/>
        </w:rPr>
        <w:t>http://news.jsdushi.cn/2017/0728/115134.shtml</w:t>
      </w:r>
      <w:r>
        <w:rPr>
          <w:rFonts w:hint="eastAsia"/>
          <w:szCs w:val="21"/>
        </w:rPr>
        <w:t>.</w:t>
      </w:r>
    </w:p>
    <w:p>
      <w:pPr>
        <w:pStyle w:val="6"/>
      </w:pPr>
    </w:p>
    <w:p>
      <w:pPr>
        <w:pStyle w:val="6"/>
      </w:pPr>
    </w:p>
    <w:p>
      <w:pPr>
        <w:pStyle w:val="6"/>
      </w:pPr>
    </w:p>
    <w:p>
      <w:pPr>
        <w:pStyle w:val="6"/>
      </w:pPr>
    </w:p>
    <w:p>
      <w:pPr>
        <w:pStyle w:val="6"/>
      </w:pPr>
    </w:p>
    <w:p>
      <w:pPr>
        <w:pStyle w:val="6"/>
      </w:pPr>
    </w:p>
    <w:p>
      <w:pPr>
        <w:pStyle w:val="6"/>
      </w:pPr>
    </w:p>
    <w:p>
      <w:pPr>
        <w:pStyle w:val="6"/>
      </w:pPr>
    </w:p>
    <w:p>
      <w:pPr>
        <w:jc w:val="center"/>
        <w:rPr>
          <w:b/>
        </w:rPr>
      </w:pPr>
      <w:r>
        <w:rPr>
          <w:rFonts w:hint="eastAsia" w:cs="Times New Roman"/>
          <w:b/>
          <w:lang w:val="en-US" w:eastAsia="zh-CN"/>
        </w:rPr>
        <w:t xml:space="preserve"> </w:t>
      </w:r>
      <w:r>
        <w:rPr>
          <w:b/>
        </w:rPr>
        <w:t xml:space="preserve">An Analysis of </w:t>
      </w:r>
      <w:r>
        <w:rPr>
          <w:rFonts w:hint="eastAsia"/>
          <w:b/>
        </w:rPr>
        <w:t>Vacant</w:t>
      </w:r>
      <w:r>
        <w:rPr>
          <w:b/>
        </w:rPr>
        <w:t xml:space="preserve"> Reason and Feasibility of TOD Redevelopment of Urban Complex---Taking Huolidao District in Suzhou Province as an Example</w:t>
      </w:r>
    </w:p>
    <w:p>
      <w:pPr>
        <w:jc w:val="center"/>
        <w:rPr>
          <w:rFonts w:cs="Times New Roman"/>
          <w:sz w:val="18"/>
          <w:szCs w:val="18"/>
        </w:rPr>
      </w:pPr>
      <w:r>
        <w:rPr>
          <w:rFonts w:cs="Times New Roman"/>
          <w:sz w:val="18"/>
          <w:szCs w:val="18"/>
        </w:rPr>
        <w:t>WU Liya</w:t>
      </w:r>
    </w:p>
    <w:p>
      <w:pPr>
        <w:jc w:val="center"/>
        <w:rPr>
          <w:rFonts w:cs="Times New Roman"/>
          <w:sz w:val="18"/>
          <w:szCs w:val="18"/>
        </w:rPr>
      </w:pPr>
      <w:r>
        <w:rPr>
          <w:rFonts w:cs="Times New Roman"/>
          <w:sz w:val="18"/>
          <w:szCs w:val="18"/>
        </w:rPr>
        <w:t>(Collaborative Innovation Center for New-type Urbanization and Social Governance of Jiangsu Province, Soochow University, Suzhou, Jiangsu 215123, China)</w:t>
      </w:r>
    </w:p>
    <w:p>
      <w:pPr>
        <w:ind w:firstLine="422" w:firstLineChars="200"/>
      </w:pPr>
      <w:r>
        <w:rPr>
          <w:b/>
        </w:rPr>
        <w:t>Abstract:</w:t>
      </w:r>
      <w:r>
        <w:t xml:space="preserve"> There are quite a few failed cases of the urban complex with integrated exploitation, marketing and management. The </w:t>
      </w:r>
      <w:r>
        <w:rPr>
          <w:rFonts w:hint="eastAsia"/>
        </w:rPr>
        <w:t>ca</w:t>
      </w:r>
      <w:r>
        <w:t xml:space="preserve">se study of Huolidao </w:t>
      </w:r>
      <w:r>
        <w:rPr>
          <w:rFonts w:hint="eastAsia"/>
        </w:rPr>
        <w:t>D</w:t>
      </w:r>
      <w:r>
        <w:t>istrict shows that the illegal construction seems to be the direct reason for the vacancy of the urban complex</w:t>
      </w:r>
      <w:r>
        <w:rPr>
          <w:rFonts w:hint="eastAsia"/>
        </w:rPr>
        <w:t>, b</w:t>
      </w:r>
      <w:r>
        <w:t>ut the basic reasons are rapid material space construction, excessive competition between and within region, unreasonable organization of communication and urban design. Based on reasonable orientation, enhancing social and economic strength, deepening of reform, building-up of road and optimization of public transportation, reforming of urban design provide the feasibility of TOD redevelopment.</w:t>
      </w:r>
    </w:p>
    <w:p>
      <w:r>
        <w:rPr>
          <w:b/>
        </w:rPr>
        <w:t xml:space="preserve">Key Words: </w:t>
      </w:r>
      <w:r>
        <w:t>Huolidao; TOD redevelopment; feasibility; urban complex; entrepreneurial city</w:t>
      </w:r>
    </w:p>
    <w:p>
      <w:pPr>
        <w:ind w:firstLine="420"/>
      </w:pPr>
    </w:p>
    <w:p>
      <w:pPr>
        <w:pStyle w:val="6"/>
        <w:rPr>
          <w:rFonts w:hint="eastAsia" w:eastAsia="宋体"/>
          <w:lang w:val="en-US" w:eastAsia="zh-CN"/>
        </w:rPr>
      </w:pPr>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0"/>
      </w:pPr>
      <w:r>
        <w:rPr>
          <w:rStyle w:val="17"/>
        </w:rPr>
        <w:footnoteRef/>
      </w:r>
      <w:r>
        <w:t xml:space="preserve"> </w:t>
      </w:r>
      <w:r>
        <w:rPr>
          <w:rFonts w:hint="eastAsia"/>
        </w:rPr>
        <w:t>收稿日期：2</w:t>
      </w:r>
      <w:r>
        <w:t>018</w:t>
      </w:r>
      <w:r>
        <w:rPr>
          <w:rFonts w:hint="eastAsia"/>
        </w:rPr>
        <w:t>年1</w:t>
      </w:r>
      <w:r>
        <w:t>1</w:t>
      </w:r>
      <w:r>
        <w:rPr>
          <w:rFonts w:hint="eastAsia"/>
        </w:rPr>
        <w:t>月05日。</w:t>
      </w:r>
    </w:p>
    <w:p>
      <w:pPr>
        <w:ind w:firstLine="180" w:firstLineChars="100"/>
        <w:rPr>
          <w:sz w:val="18"/>
          <w:szCs w:val="18"/>
        </w:rPr>
      </w:pPr>
      <w:r>
        <w:rPr>
          <w:rFonts w:hint="eastAsia"/>
          <w:sz w:val="18"/>
          <w:szCs w:val="18"/>
        </w:rPr>
        <w:t>作者简介：吴莉娅（1</w:t>
      </w:r>
      <w:r>
        <w:rPr>
          <w:sz w:val="18"/>
          <w:szCs w:val="18"/>
        </w:rPr>
        <w:t>978</w:t>
      </w:r>
      <w:r>
        <w:rPr>
          <w:rFonts w:hint="eastAsia"/>
          <w:sz w:val="18"/>
          <w:szCs w:val="18"/>
        </w:rPr>
        <w:t>-），女（汉族），河南固始人，苏州大学江苏省新型城镇化与社会治理协同创新中心副教授，博士，研究方向：城市化。</w:t>
      </w:r>
    </w:p>
    <w:p>
      <w:pPr>
        <w:pStyle w:val="10"/>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E89"/>
    <w:rsid w:val="00004B46"/>
    <w:rsid w:val="00007A7A"/>
    <w:rsid w:val="0001525A"/>
    <w:rsid w:val="00022007"/>
    <w:rsid w:val="0009401F"/>
    <w:rsid w:val="000944AD"/>
    <w:rsid w:val="000964D4"/>
    <w:rsid w:val="000B0BF6"/>
    <w:rsid w:val="000D0F1F"/>
    <w:rsid w:val="000E1A76"/>
    <w:rsid w:val="000F5ED9"/>
    <w:rsid w:val="0010634D"/>
    <w:rsid w:val="00115459"/>
    <w:rsid w:val="001158F4"/>
    <w:rsid w:val="001241F0"/>
    <w:rsid w:val="00137D0C"/>
    <w:rsid w:val="00160110"/>
    <w:rsid w:val="001602D5"/>
    <w:rsid w:val="00166B67"/>
    <w:rsid w:val="0017136B"/>
    <w:rsid w:val="001726CD"/>
    <w:rsid w:val="001B015D"/>
    <w:rsid w:val="001B02B5"/>
    <w:rsid w:val="001E31E0"/>
    <w:rsid w:val="002137E0"/>
    <w:rsid w:val="00215E71"/>
    <w:rsid w:val="00235FA1"/>
    <w:rsid w:val="00237320"/>
    <w:rsid w:val="00237427"/>
    <w:rsid w:val="002506D2"/>
    <w:rsid w:val="002651D1"/>
    <w:rsid w:val="00277B52"/>
    <w:rsid w:val="00287C11"/>
    <w:rsid w:val="00294EE4"/>
    <w:rsid w:val="002A3648"/>
    <w:rsid w:val="002C6A12"/>
    <w:rsid w:val="002C6BBD"/>
    <w:rsid w:val="002D4F13"/>
    <w:rsid w:val="00305ED2"/>
    <w:rsid w:val="00323955"/>
    <w:rsid w:val="00332475"/>
    <w:rsid w:val="0033745A"/>
    <w:rsid w:val="00341FF9"/>
    <w:rsid w:val="0036394D"/>
    <w:rsid w:val="003665D3"/>
    <w:rsid w:val="0037158F"/>
    <w:rsid w:val="00395080"/>
    <w:rsid w:val="003A1601"/>
    <w:rsid w:val="003B18AD"/>
    <w:rsid w:val="003C5DE8"/>
    <w:rsid w:val="003E1E29"/>
    <w:rsid w:val="003F7426"/>
    <w:rsid w:val="003F7CDE"/>
    <w:rsid w:val="004050E5"/>
    <w:rsid w:val="00454AB9"/>
    <w:rsid w:val="00462321"/>
    <w:rsid w:val="004A11C6"/>
    <w:rsid w:val="004E5B33"/>
    <w:rsid w:val="004E65E3"/>
    <w:rsid w:val="004F0F66"/>
    <w:rsid w:val="004F78CB"/>
    <w:rsid w:val="00503C2F"/>
    <w:rsid w:val="00521A4B"/>
    <w:rsid w:val="005316AB"/>
    <w:rsid w:val="00556DFE"/>
    <w:rsid w:val="00571B9F"/>
    <w:rsid w:val="0057437E"/>
    <w:rsid w:val="00581AC4"/>
    <w:rsid w:val="005A5881"/>
    <w:rsid w:val="005A691E"/>
    <w:rsid w:val="005B153F"/>
    <w:rsid w:val="005B493C"/>
    <w:rsid w:val="005D32E5"/>
    <w:rsid w:val="00600501"/>
    <w:rsid w:val="00601A93"/>
    <w:rsid w:val="00611C83"/>
    <w:rsid w:val="00620DBB"/>
    <w:rsid w:val="00623957"/>
    <w:rsid w:val="00644C68"/>
    <w:rsid w:val="006516BF"/>
    <w:rsid w:val="00663ADB"/>
    <w:rsid w:val="00673239"/>
    <w:rsid w:val="00675E89"/>
    <w:rsid w:val="00685833"/>
    <w:rsid w:val="00685EC3"/>
    <w:rsid w:val="006B708D"/>
    <w:rsid w:val="006D478B"/>
    <w:rsid w:val="006E1BBE"/>
    <w:rsid w:val="00703F45"/>
    <w:rsid w:val="007163FD"/>
    <w:rsid w:val="00716591"/>
    <w:rsid w:val="00735744"/>
    <w:rsid w:val="0074697C"/>
    <w:rsid w:val="00750224"/>
    <w:rsid w:val="00753211"/>
    <w:rsid w:val="00755B68"/>
    <w:rsid w:val="00756005"/>
    <w:rsid w:val="007605BE"/>
    <w:rsid w:val="00762919"/>
    <w:rsid w:val="00784428"/>
    <w:rsid w:val="00787A56"/>
    <w:rsid w:val="00795604"/>
    <w:rsid w:val="007A6B2A"/>
    <w:rsid w:val="007B12C6"/>
    <w:rsid w:val="007D405F"/>
    <w:rsid w:val="007D41D4"/>
    <w:rsid w:val="007D5BDF"/>
    <w:rsid w:val="007E3572"/>
    <w:rsid w:val="008079C4"/>
    <w:rsid w:val="008140EB"/>
    <w:rsid w:val="00822201"/>
    <w:rsid w:val="00826E77"/>
    <w:rsid w:val="0083665D"/>
    <w:rsid w:val="00836DCC"/>
    <w:rsid w:val="00882933"/>
    <w:rsid w:val="00886C62"/>
    <w:rsid w:val="008878B0"/>
    <w:rsid w:val="0089167B"/>
    <w:rsid w:val="008947A8"/>
    <w:rsid w:val="008A1423"/>
    <w:rsid w:val="008A3FF4"/>
    <w:rsid w:val="008B333B"/>
    <w:rsid w:val="008B6CEA"/>
    <w:rsid w:val="008B6F40"/>
    <w:rsid w:val="008C1A7F"/>
    <w:rsid w:val="008D0F3D"/>
    <w:rsid w:val="008F6BF5"/>
    <w:rsid w:val="009119E0"/>
    <w:rsid w:val="00920735"/>
    <w:rsid w:val="009224B4"/>
    <w:rsid w:val="009239A3"/>
    <w:rsid w:val="00941E46"/>
    <w:rsid w:val="009432A1"/>
    <w:rsid w:val="0094656F"/>
    <w:rsid w:val="00946C2F"/>
    <w:rsid w:val="009554EA"/>
    <w:rsid w:val="0097266C"/>
    <w:rsid w:val="009A4577"/>
    <w:rsid w:val="009B2CC7"/>
    <w:rsid w:val="009B476F"/>
    <w:rsid w:val="009D6525"/>
    <w:rsid w:val="009F223E"/>
    <w:rsid w:val="00A10691"/>
    <w:rsid w:val="00A161F3"/>
    <w:rsid w:val="00A17046"/>
    <w:rsid w:val="00A21732"/>
    <w:rsid w:val="00A33F85"/>
    <w:rsid w:val="00A35E51"/>
    <w:rsid w:val="00A52F87"/>
    <w:rsid w:val="00A61D49"/>
    <w:rsid w:val="00A7562A"/>
    <w:rsid w:val="00A759FA"/>
    <w:rsid w:val="00A77979"/>
    <w:rsid w:val="00A9197A"/>
    <w:rsid w:val="00A95861"/>
    <w:rsid w:val="00AA58C0"/>
    <w:rsid w:val="00AB07BB"/>
    <w:rsid w:val="00AB112F"/>
    <w:rsid w:val="00AC04C3"/>
    <w:rsid w:val="00AC6D86"/>
    <w:rsid w:val="00AD1A14"/>
    <w:rsid w:val="00AF030F"/>
    <w:rsid w:val="00AF7AB4"/>
    <w:rsid w:val="00B426F8"/>
    <w:rsid w:val="00B47B76"/>
    <w:rsid w:val="00B5381E"/>
    <w:rsid w:val="00B54076"/>
    <w:rsid w:val="00B66515"/>
    <w:rsid w:val="00B91675"/>
    <w:rsid w:val="00B953B6"/>
    <w:rsid w:val="00BA3478"/>
    <w:rsid w:val="00BB5FE2"/>
    <w:rsid w:val="00BC4538"/>
    <w:rsid w:val="00BD0E01"/>
    <w:rsid w:val="00BD7309"/>
    <w:rsid w:val="00BD7317"/>
    <w:rsid w:val="00BE0155"/>
    <w:rsid w:val="00BE3A13"/>
    <w:rsid w:val="00C017B1"/>
    <w:rsid w:val="00C215FA"/>
    <w:rsid w:val="00C46BF9"/>
    <w:rsid w:val="00C64A8F"/>
    <w:rsid w:val="00C70903"/>
    <w:rsid w:val="00C80982"/>
    <w:rsid w:val="00C81D1A"/>
    <w:rsid w:val="00C83DB0"/>
    <w:rsid w:val="00C929E2"/>
    <w:rsid w:val="00CB471D"/>
    <w:rsid w:val="00CB61BE"/>
    <w:rsid w:val="00CC0654"/>
    <w:rsid w:val="00CC0E84"/>
    <w:rsid w:val="00CC2E66"/>
    <w:rsid w:val="00CD3BC1"/>
    <w:rsid w:val="00CD653F"/>
    <w:rsid w:val="00CE00ED"/>
    <w:rsid w:val="00CE6B5A"/>
    <w:rsid w:val="00CE7F7F"/>
    <w:rsid w:val="00CF0E71"/>
    <w:rsid w:val="00CF12FC"/>
    <w:rsid w:val="00CF1476"/>
    <w:rsid w:val="00CF3CC7"/>
    <w:rsid w:val="00D17383"/>
    <w:rsid w:val="00D376E3"/>
    <w:rsid w:val="00D5483A"/>
    <w:rsid w:val="00D57167"/>
    <w:rsid w:val="00D57D50"/>
    <w:rsid w:val="00D75F97"/>
    <w:rsid w:val="00D83F6D"/>
    <w:rsid w:val="00D86AE4"/>
    <w:rsid w:val="00DA3138"/>
    <w:rsid w:val="00DA77FA"/>
    <w:rsid w:val="00DA7B51"/>
    <w:rsid w:val="00DB636E"/>
    <w:rsid w:val="00DD6413"/>
    <w:rsid w:val="00E01504"/>
    <w:rsid w:val="00E0359A"/>
    <w:rsid w:val="00E267B3"/>
    <w:rsid w:val="00E44BEE"/>
    <w:rsid w:val="00E52147"/>
    <w:rsid w:val="00E5274D"/>
    <w:rsid w:val="00E63F68"/>
    <w:rsid w:val="00E70259"/>
    <w:rsid w:val="00E70827"/>
    <w:rsid w:val="00E70D6D"/>
    <w:rsid w:val="00E7126B"/>
    <w:rsid w:val="00E74440"/>
    <w:rsid w:val="00EA2599"/>
    <w:rsid w:val="00EA4DC4"/>
    <w:rsid w:val="00EB2B6E"/>
    <w:rsid w:val="00EC7009"/>
    <w:rsid w:val="00ED1382"/>
    <w:rsid w:val="00ED5E41"/>
    <w:rsid w:val="00ED786D"/>
    <w:rsid w:val="00EE0925"/>
    <w:rsid w:val="00EE2859"/>
    <w:rsid w:val="00EE2A8D"/>
    <w:rsid w:val="00F93CFF"/>
    <w:rsid w:val="00FB2C99"/>
    <w:rsid w:val="00FC1544"/>
    <w:rsid w:val="00FD3714"/>
    <w:rsid w:val="00FE164E"/>
    <w:rsid w:val="00FF60A3"/>
    <w:rsid w:val="2395382D"/>
    <w:rsid w:val="261800A2"/>
    <w:rsid w:val="49B86B9E"/>
    <w:rsid w:val="550047E7"/>
    <w:rsid w:val="6A5A157C"/>
    <w:rsid w:val="722F3D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qFormat="1"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jc w:val="both"/>
    </w:pPr>
    <w:rPr>
      <w:rFonts w:ascii="Times New Roman" w:hAnsi="Times New Roman" w:eastAsia="宋体" w:cstheme="minorBidi"/>
      <w:kern w:val="2"/>
      <w:sz w:val="21"/>
      <w:szCs w:val="22"/>
      <w:lang w:val="en-US" w:eastAsia="zh-CN" w:bidi="ar-SA"/>
    </w:rPr>
  </w:style>
  <w:style w:type="paragraph" w:styleId="2">
    <w:name w:val="heading 1"/>
    <w:basedOn w:val="1"/>
    <w:next w:val="1"/>
    <w:link w:val="21"/>
    <w:qFormat/>
    <w:uiPriority w:val="9"/>
    <w:pPr>
      <w:keepNext/>
      <w:keepLines/>
      <w:ind w:firstLine="200" w:firstLineChars="200"/>
      <w:outlineLvl w:val="0"/>
    </w:pPr>
    <w:rPr>
      <w:b/>
      <w:bCs/>
      <w:kern w:val="44"/>
      <w:sz w:val="24"/>
      <w:szCs w:val="44"/>
    </w:rPr>
  </w:style>
  <w:style w:type="paragraph" w:styleId="3">
    <w:name w:val="heading 2"/>
    <w:basedOn w:val="1"/>
    <w:next w:val="1"/>
    <w:link w:val="19"/>
    <w:unhideWhenUsed/>
    <w:qFormat/>
    <w:uiPriority w:val="9"/>
    <w:pPr>
      <w:keepNext/>
      <w:keepLines/>
      <w:ind w:firstLine="200" w:firstLineChars="200"/>
      <w:outlineLvl w:val="1"/>
    </w:pPr>
    <w:rPr>
      <w:rFonts w:asciiTheme="majorHAnsi" w:hAnsiTheme="majorHAnsi" w:eastAsiaTheme="majorEastAsia" w:cstheme="majorBidi"/>
      <w:b/>
      <w:bCs/>
      <w:szCs w:val="32"/>
    </w:rPr>
  </w:style>
  <w:style w:type="paragraph" w:styleId="4">
    <w:name w:val="heading 3"/>
    <w:basedOn w:val="1"/>
    <w:next w:val="1"/>
    <w:link w:val="25"/>
    <w:semiHidden/>
    <w:unhideWhenUsed/>
    <w:qFormat/>
    <w:uiPriority w:val="9"/>
    <w:pPr>
      <w:keepNext/>
      <w:keepLines/>
      <w:spacing w:before="260" w:after="260" w:line="415" w:lineRule="auto"/>
      <w:ind w:firstLine="200" w:firstLineChars="200"/>
      <w:outlineLvl w:val="2"/>
    </w:pPr>
    <w:rPr>
      <w:b/>
      <w:bCs/>
      <w:sz w:val="32"/>
      <w:szCs w:val="32"/>
    </w:rPr>
  </w:style>
  <w:style w:type="character" w:default="1" w:styleId="13">
    <w:name w:val="Default Paragraph Font"/>
    <w:semiHidden/>
    <w:unhideWhenUsed/>
    <w:uiPriority w:val="1"/>
  </w:style>
  <w:style w:type="table" w:default="1" w:styleId="12">
    <w:name w:val="Normal Table"/>
    <w:semiHidden/>
    <w:unhideWhenUsed/>
    <w:uiPriority w:val="99"/>
    <w:tblPr>
      <w:tblLayout w:type="fixed"/>
      <w:tblCellMar>
        <w:top w:w="0" w:type="dxa"/>
        <w:left w:w="108" w:type="dxa"/>
        <w:bottom w:w="0" w:type="dxa"/>
        <w:right w:w="108" w:type="dxa"/>
      </w:tblCellMar>
    </w:tblPr>
  </w:style>
  <w:style w:type="paragraph" w:styleId="5">
    <w:name w:val="annotation text"/>
    <w:basedOn w:val="1"/>
    <w:semiHidden/>
    <w:unhideWhenUsed/>
    <w:qFormat/>
    <w:uiPriority w:val="99"/>
    <w:pPr>
      <w:jc w:val="left"/>
    </w:pPr>
  </w:style>
  <w:style w:type="paragraph" w:styleId="6">
    <w:name w:val="endnote text"/>
    <w:basedOn w:val="1"/>
    <w:link w:val="24"/>
    <w:unhideWhenUsed/>
    <w:qFormat/>
    <w:uiPriority w:val="99"/>
    <w:pPr>
      <w:snapToGrid w:val="0"/>
      <w:jc w:val="left"/>
    </w:pPr>
  </w:style>
  <w:style w:type="paragraph" w:styleId="7">
    <w:name w:val="Balloon Text"/>
    <w:basedOn w:val="1"/>
    <w:link w:val="20"/>
    <w:semiHidden/>
    <w:unhideWhenUsed/>
    <w:qFormat/>
    <w:uiPriority w:val="99"/>
    <w:rPr>
      <w:sz w:val="18"/>
      <w:szCs w:val="18"/>
    </w:rPr>
  </w:style>
  <w:style w:type="paragraph" w:styleId="8">
    <w:name w:val="footer"/>
    <w:basedOn w:val="1"/>
    <w:link w:val="23"/>
    <w:unhideWhenUsed/>
    <w:qFormat/>
    <w:uiPriority w:val="99"/>
    <w:pPr>
      <w:tabs>
        <w:tab w:val="center" w:pos="4153"/>
        <w:tab w:val="right" w:pos="8306"/>
      </w:tabs>
      <w:snapToGrid w:val="0"/>
      <w:jc w:val="left"/>
    </w:pPr>
    <w:rPr>
      <w:sz w:val="18"/>
      <w:szCs w:val="18"/>
    </w:rPr>
  </w:style>
  <w:style w:type="paragraph" w:styleId="9">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footnote text"/>
    <w:basedOn w:val="1"/>
    <w:link w:val="18"/>
    <w:semiHidden/>
    <w:unhideWhenUsed/>
    <w:qFormat/>
    <w:uiPriority w:val="99"/>
    <w:pPr>
      <w:snapToGrid w:val="0"/>
      <w:jc w:val="left"/>
    </w:pPr>
    <w:rPr>
      <w:sz w:val="18"/>
      <w:szCs w:val="18"/>
    </w:rPr>
  </w:style>
  <w:style w:type="paragraph" w:styleId="11">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character" w:styleId="14">
    <w:name w:val="endnote reference"/>
    <w:basedOn w:val="13"/>
    <w:semiHidden/>
    <w:unhideWhenUsed/>
    <w:qFormat/>
    <w:uiPriority w:val="99"/>
    <w:rPr>
      <w:vertAlign w:val="superscript"/>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styleId="16">
    <w:name w:val="annotation reference"/>
    <w:basedOn w:val="13"/>
    <w:semiHidden/>
    <w:unhideWhenUsed/>
    <w:uiPriority w:val="99"/>
    <w:rPr>
      <w:sz w:val="21"/>
      <w:szCs w:val="21"/>
    </w:rPr>
  </w:style>
  <w:style w:type="character" w:styleId="17">
    <w:name w:val="footnote reference"/>
    <w:basedOn w:val="13"/>
    <w:semiHidden/>
    <w:unhideWhenUsed/>
    <w:qFormat/>
    <w:uiPriority w:val="99"/>
    <w:rPr>
      <w:vertAlign w:val="superscript"/>
    </w:rPr>
  </w:style>
  <w:style w:type="character" w:customStyle="1" w:styleId="18">
    <w:name w:val="脚注文本 字符"/>
    <w:basedOn w:val="13"/>
    <w:link w:val="10"/>
    <w:semiHidden/>
    <w:qFormat/>
    <w:uiPriority w:val="99"/>
    <w:rPr>
      <w:sz w:val="18"/>
      <w:szCs w:val="18"/>
    </w:rPr>
  </w:style>
  <w:style w:type="character" w:customStyle="1" w:styleId="19">
    <w:name w:val="标题 2 字符"/>
    <w:basedOn w:val="13"/>
    <w:link w:val="3"/>
    <w:qFormat/>
    <w:uiPriority w:val="9"/>
    <w:rPr>
      <w:rFonts w:asciiTheme="majorHAnsi" w:hAnsiTheme="majorHAnsi" w:eastAsiaTheme="majorEastAsia" w:cstheme="majorBidi"/>
      <w:b/>
      <w:bCs/>
      <w:szCs w:val="32"/>
    </w:rPr>
  </w:style>
  <w:style w:type="character" w:customStyle="1" w:styleId="20">
    <w:name w:val="批注框文本 字符"/>
    <w:basedOn w:val="13"/>
    <w:link w:val="7"/>
    <w:semiHidden/>
    <w:qFormat/>
    <w:uiPriority w:val="99"/>
    <w:rPr>
      <w:sz w:val="18"/>
      <w:szCs w:val="18"/>
    </w:rPr>
  </w:style>
  <w:style w:type="character" w:customStyle="1" w:styleId="21">
    <w:name w:val="标题 1 字符"/>
    <w:basedOn w:val="13"/>
    <w:link w:val="2"/>
    <w:qFormat/>
    <w:uiPriority w:val="9"/>
    <w:rPr>
      <w:rFonts w:ascii="Times New Roman" w:hAnsi="Times New Roman" w:eastAsia="宋体"/>
      <w:b/>
      <w:bCs/>
      <w:kern w:val="44"/>
      <w:sz w:val="24"/>
      <w:szCs w:val="44"/>
    </w:rPr>
  </w:style>
  <w:style w:type="character" w:customStyle="1" w:styleId="22">
    <w:name w:val="页眉 字符"/>
    <w:basedOn w:val="13"/>
    <w:link w:val="9"/>
    <w:qFormat/>
    <w:uiPriority w:val="99"/>
    <w:rPr>
      <w:sz w:val="18"/>
      <w:szCs w:val="18"/>
    </w:rPr>
  </w:style>
  <w:style w:type="character" w:customStyle="1" w:styleId="23">
    <w:name w:val="页脚 字符"/>
    <w:basedOn w:val="13"/>
    <w:link w:val="8"/>
    <w:qFormat/>
    <w:uiPriority w:val="99"/>
    <w:rPr>
      <w:sz w:val="18"/>
      <w:szCs w:val="18"/>
    </w:rPr>
  </w:style>
  <w:style w:type="character" w:customStyle="1" w:styleId="24">
    <w:name w:val="尾注文本 字符"/>
    <w:basedOn w:val="13"/>
    <w:link w:val="6"/>
    <w:qFormat/>
    <w:uiPriority w:val="99"/>
  </w:style>
  <w:style w:type="character" w:customStyle="1" w:styleId="25">
    <w:name w:val="标题 3 字符"/>
    <w:basedOn w:val="13"/>
    <w:link w:val="4"/>
    <w:semiHidden/>
    <w:qFormat/>
    <w:uiPriority w:val="9"/>
    <w:rPr>
      <w:rFonts w:ascii="Times New Roman" w:hAnsi="Times New Roman"/>
      <w:b/>
      <w:bCs/>
      <w:sz w:val="32"/>
      <w:szCs w:val="32"/>
    </w:rPr>
  </w:style>
  <w:style w:type="character" w:customStyle="1" w:styleId="26">
    <w:name w:val="未处理的提及1"/>
    <w:basedOn w:val="13"/>
    <w:semiHidden/>
    <w:unhideWhenUsed/>
    <w:qFormat/>
    <w:uiPriority w:val="99"/>
    <w:rPr>
      <w:color w:val="605E5C"/>
      <w:shd w:val="clear" w:color="auto" w:fill="E1DFDD"/>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notes" Target="footnotes.xml"/>
  <Relationship Id="rId4" Type="http://schemas.openxmlformats.org/officeDocument/2006/relationships/endnotes" Target="endnotes.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customXml" Target="../customXml/item1.xml"/>
  <Relationship Id="rId8" Type="http://schemas.openxmlformats.org/officeDocument/2006/relationships/customXml" Target="../customXml/item2.xml"/>
  <Relationship Id="rId9"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6215CE-0AA4-4BD6-88BF-0C66DE746601}">
  <ds:schemaRefs/>
</ds:datastoreItem>
</file>

<file path=docProps/app.xml><?xml version="1.0" encoding="utf-8"?>
<Properties xmlns="http://schemas.openxmlformats.org/officeDocument/2006/extended-properties" xmlns:vt="http://schemas.openxmlformats.org/officeDocument/2006/docPropsVTypes">
  <Template>Normal</Template>
  <Pages>8</Pages>
  <Words>1010</Words>
  <Characters>5763</Characters>
  <Lines>48</Lines>
  <Paragraphs>13</Paragraphs>
  <TotalTime>0</TotalTime>
  <ScaleCrop>false</ScaleCrop>
  <LinksUpToDate>false</LinksUpToDate>
  <CharactersWithSpaces>6760</CharactersWithSpaces>
  <Application>WPS Office_11.1.0.8567_F1E327BC-269C-435d-A152-05C5408002CA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2018-11-28T00:56:00Z</dcterms:created>
  <dc:creator>user</dc:creator>
  <lastModifiedBy>HC</lastModifiedBy>
  <dcterms:modified xsi:type="dcterms:W3CDTF">2019-04-24T02:12:21Z</dcterms:modified>
  <revision>26</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