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4A" w:rsidRDefault="00A70930">
      <w:pPr>
        <w:spacing w:line="440" w:lineRule="exact"/>
        <w:ind w:firstLineChars="492" w:firstLine="1581"/>
        <w:rPr>
          <w:rFonts w:ascii="SimHei" w:eastAsia="SimHei"/>
          <w:b/>
          <w:sz w:val="32"/>
          <w:szCs w:val="32"/>
        </w:rPr>
      </w:pPr>
      <w:r>
        <w:rPr>
          <w:rFonts w:ascii="SimHei" w:eastAsia="SimHei" w:hint="eastAsia"/>
          <w:b/>
          <w:sz w:val="32"/>
          <w:szCs w:val="32"/>
        </w:rPr>
        <w:t>从目的论视角看民俗文化的传播</w:t>
      </w:r>
    </w:p>
    <w:p w:rsidR="00D7654A" w:rsidRDefault="00A70930">
      <w:pPr>
        <w:spacing w:line="440" w:lineRule="exact"/>
        <w:ind w:firstLineChars="492" w:firstLine="1581"/>
        <w:rPr>
          <w:rFonts w:ascii="SimHei" w:eastAsia="SimHei"/>
          <w:b/>
          <w:sz w:val="32"/>
          <w:szCs w:val="32"/>
        </w:rPr>
      </w:pPr>
      <w:r>
        <w:rPr>
          <w:rFonts w:ascii="SimHei" w:eastAsia="SimHei" w:hint="eastAsia"/>
          <w:b/>
          <w:sz w:val="32"/>
          <w:szCs w:val="32"/>
        </w:rPr>
        <w:t xml:space="preserve">          ——佛山市民俗文化英译研究</w:t>
      </w:r>
    </w:p>
    <w:p w:rsidR="00D7654A" w:rsidRDefault="00A70930">
      <w:pPr>
        <w:spacing w:line="440" w:lineRule="exact"/>
        <w:ind w:firstLineChars="492" w:firstLine="1581"/>
        <w:rPr>
          <w:rFonts w:ascii="SimHei" w:eastAsia="SimHei"/>
          <w:b/>
          <w:sz w:val="32"/>
          <w:szCs w:val="32"/>
        </w:rPr>
      </w:pPr>
      <w:r>
        <w:rPr>
          <w:rFonts w:ascii="SimHei" w:eastAsia="SimHei" w:hint="eastAsia"/>
          <w:b/>
          <w:sz w:val="32"/>
          <w:szCs w:val="32"/>
        </w:rPr>
        <w:t xml:space="preserve">          </w:t>
      </w:r>
      <w:r>
        <w:rPr>
          <w:rFonts w:asciiTheme="minorEastAsia" w:hAnsiTheme="minorEastAsia" w:hint="eastAsia"/>
          <w:szCs w:val="21"/>
        </w:rPr>
        <w:t>周立</w:t>
      </w:r>
    </w:p>
    <w:p w:rsidR="00D7654A" w:rsidRDefault="00A70930">
      <w:pPr>
        <w:spacing w:line="40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（佛山科学技术学院 文学院   广东   佛山  528000）</w:t>
      </w:r>
    </w:p>
    <w:p w:rsidR="00D7654A" w:rsidRDefault="00A70930">
      <w:pPr>
        <w:spacing w:line="400" w:lineRule="exact"/>
        <w:ind w:left="525" w:hangingChars="250" w:hanging="525"/>
        <w:rPr>
          <w:szCs w:val="21"/>
        </w:rPr>
      </w:pPr>
      <w:r>
        <w:rPr>
          <w:rFonts w:hint="eastAsia"/>
          <w:szCs w:val="21"/>
        </w:rPr>
        <w:t>摘要：民俗文化翻译在文化交流和传播中具有积极的意义。本文从功能目的论视角，分析探讨了佛山民俗文化英译实例，提出了民俗文化英译的处理策略，对准确传达文化内涵，促进佛山对外文化交流，提高佛山城市知名度，具有深远的影响。</w:t>
      </w:r>
    </w:p>
    <w:p w:rsidR="00D7654A" w:rsidRDefault="00A70930">
      <w:pPr>
        <w:spacing w:line="400" w:lineRule="exact"/>
        <w:rPr>
          <w:rFonts w:ascii="SimSun" w:eastAsia="SimSun" w:hAnsi="SimSun"/>
          <w:szCs w:val="21"/>
        </w:rPr>
      </w:pPr>
      <w:r>
        <w:rPr>
          <w:rFonts w:hint="eastAsia"/>
          <w:szCs w:val="21"/>
        </w:rPr>
        <w:t>关</w:t>
      </w:r>
      <w:r>
        <w:rPr>
          <w:rFonts w:ascii="SimSun" w:eastAsia="SimSun" w:hAnsi="SimSun" w:hint="eastAsia"/>
          <w:szCs w:val="21"/>
        </w:rPr>
        <w:t>键词：功能目的论  佛山民俗文化   翻译策略</w:t>
      </w:r>
    </w:p>
    <w:p w:rsidR="00D7654A" w:rsidRDefault="00A70930">
      <w:pPr>
        <w:spacing w:line="400" w:lineRule="exact"/>
        <w:rPr>
          <w:rFonts w:ascii="SimSun" w:eastAsia="SimSun" w:hAnsi="SimSun"/>
          <w:szCs w:val="21"/>
        </w:rPr>
      </w:pPr>
      <w:r>
        <w:rPr>
          <w:rFonts w:ascii="SimSun" w:eastAsia="SimSun" w:hAnsi="SimSun" w:hint="eastAsia"/>
          <w:szCs w:val="21"/>
        </w:rPr>
        <w:t>中图分类号：H059                  文献标识码： A</w:t>
      </w:r>
    </w:p>
    <w:p w:rsidR="00D7654A" w:rsidRDefault="00A70930">
      <w:pPr>
        <w:spacing w:line="400" w:lineRule="exact"/>
        <w:rPr>
          <w:rFonts w:ascii="SimSun" w:eastAsia="SimSun" w:hAnsi="SimSun"/>
          <w:szCs w:val="21"/>
        </w:rPr>
      </w:pPr>
      <w:r>
        <w:rPr>
          <w:rFonts w:ascii="SimSun" w:eastAsia="SimSun" w:hAnsi="SimSun" w:hint="eastAsia"/>
          <w:szCs w:val="21"/>
        </w:rPr>
        <w:t>文章编号：</w:t>
      </w:r>
    </w:p>
    <w:p w:rsidR="00D7654A" w:rsidRDefault="00A70930">
      <w:pPr>
        <w:spacing w:line="400" w:lineRule="exact"/>
        <w:rPr>
          <w:rFonts w:ascii="SimSun" w:eastAsia="SimSun" w:hAnsi="SimSun"/>
          <w:b/>
          <w:szCs w:val="21"/>
        </w:rPr>
      </w:pPr>
      <w:r>
        <w:rPr>
          <w:rFonts w:ascii="SimSun" w:eastAsia="SimSun" w:hAnsi="SimSun" w:hint="eastAsia"/>
          <w:szCs w:val="21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>引言</w:t>
      </w:r>
    </w:p>
    <w:p w:rsidR="00D7654A" w:rsidRDefault="00A70930">
      <w:pPr>
        <w:spacing w:line="400" w:lineRule="exact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十八大会议明确提出了“文化软实力显著增强”的发展目标，要进一步推动中国文化“走出去”，扩大对外文化贸易。佛山市在2013年政府报告中也提出了“</w:t>
      </w:r>
      <w:r>
        <w:rPr>
          <w:rFonts w:asciiTheme="minorEastAsia" w:hAnsiTheme="minorEastAsia" w:hint="eastAsia"/>
          <w:spacing w:val="15"/>
          <w:szCs w:val="21"/>
        </w:rPr>
        <w:t>深入实施文化强市战略，打造岭南文化名城”的建设目标。让佛山文化“走出去 ”，让世界更好地了解佛山民俗文化，这是翻译研究者们在新世界所肩负的使命。</w:t>
      </w:r>
      <w:r>
        <w:rPr>
          <w:rFonts w:asciiTheme="minorEastAsia" w:hAnsiTheme="minorEastAsia" w:hint="eastAsia"/>
          <w:szCs w:val="21"/>
        </w:rPr>
        <w:t>佛山是珠江三角洲民间艺术的摇篮，孕育并保留了秋色，木刻年画，粤剧，香云纱，醒狮，龙舟说唱等大量体现岭南文化精髓的民间艺术及民俗事象。这些民间艺术和民俗事象的英文翻译资料，就成了佛山文化“走出去”的重要媒介。然而，笔者在收集和研究佛山民俗文化外宣资料时，发现这些外宣资料中存在不少问题。因此有必要对佛山民俗文化的外宣翻译进行研究和探讨，以保证佛山民俗文化的翻译质量。目前，在国内的民俗文化翻译研究中，丁树德</w:t>
      </w:r>
      <w:r>
        <w:rPr>
          <w:rFonts w:asciiTheme="minorEastAsia" w:hAnsiTheme="minorEastAsia" w:hint="eastAsia"/>
          <w:szCs w:val="21"/>
          <w:vertAlign w:val="superscript"/>
        </w:rPr>
        <w:t>［1］</w:t>
      </w:r>
      <w:r>
        <w:rPr>
          <w:rFonts w:asciiTheme="minorEastAsia" w:hAnsiTheme="minorEastAsia" w:hint="eastAsia"/>
          <w:szCs w:val="21"/>
        </w:rPr>
        <w:t>就民俗名称的英译进行了深入研究。蒋红红</w:t>
      </w:r>
      <w:r>
        <w:rPr>
          <w:rFonts w:asciiTheme="minorEastAsia" w:hAnsiTheme="minorEastAsia" w:hint="eastAsia"/>
          <w:szCs w:val="21"/>
          <w:vertAlign w:val="superscript"/>
        </w:rPr>
        <w:t>［2］</w:t>
      </w:r>
      <w:r>
        <w:rPr>
          <w:rFonts w:asciiTheme="minorEastAsia" w:hAnsiTheme="minorEastAsia" w:hint="eastAsia"/>
          <w:szCs w:val="21"/>
        </w:rPr>
        <w:t>提出要重视民俗翻译中的文化身份问题和不可替换性，并挖掘深层结构。马慈祥</w:t>
      </w:r>
      <w:r>
        <w:rPr>
          <w:rFonts w:asciiTheme="minorEastAsia" w:hAnsiTheme="minorEastAsia" w:hint="eastAsia"/>
          <w:szCs w:val="21"/>
          <w:vertAlign w:val="superscript"/>
        </w:rPr>
        <w:t>［3］</w:t>
      </w:r>
      <w:r>
        <w:rPr>
          <w:rFonts w:asciiTheme="minorEastAsia" w:hAnsiTheme="minorEastAsia" w:hint="eastAsia"/>
          <w:szCs w:val="21"/>
        </w:rPr>
        <w:t>就民俗文化词语的可译性提出翻译策略。麦红宇等</w:t>
      </w:r>
      <w:r>
        <w:rPr>
          <w:rFonts w:asciiTheme="minorEastAsia" w:hAnsiTheme="minorEastAsia" w:hint="eastAsia"/>
          <w:szCs w:val="21"/>
          <w:vertAlign w:val="superscript"/>
        </w:rPr>
        <w:t>［4］</w:t>
      </w:r>
      <w:r>
        <w:rPr>
          <w:rFonts w:asciiTheme="minorEastAsia" w:hAnsiTheme="minorEastAsia" w:hint="eastAsia"/>
          <w:szCs w:val="21"/>
        </w:rPr>
        <w:t>对广西民俗文化词典英译进行了案例分析。前人在民俗文化翻译研究中都提出了文化因素的问题，但是对区域民俗文化的外宣翻译研究鲜见，对佛山民俗文化外宣翻译的研究至今无人涉及。</w:t>
      </w:r>
      <w:r>
        <w:rPr>
          <w:rFonts w:asciiTheme="minorEastAsia" w:hAnsiTheme="minorEastAsia" w:hint="eastAsia"/>
          <w:spacing w:val="15"/>
          <w:szCs w:val="21"/>
        </w:rPr>
        <w:t>本文将从功能目的论的视角，来具体分析佛山民俗文化外宣资料中的翻译实例，继而提出针对性的翻译策略，为翻译实务提供理论依据</w:t>
      </w:r>
      <w:r>
        <w:rPr>
          <w:rFonts w:asciiTheme="minorEastAsia" w:hAnsiTheme="minorEastAsia" w:hint="eastAsia"/>
          <w:szCs w:val="21"/>
        </w:rPr>
        <w:t>，对促进我国文化事业具有重大的战略意义。</w:t>
      </w:r>
    </w:p>
    <w:p w:rsidR="00D7654A" w:rsidRDefault="00A70930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一、功能目的论</w:t>
      </w:r>
    </w:p>
    <w:p w:rsidR="00D7654A" w:rsidRDefault="00A70930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Cs w:val="21"/>
        </w:rPr>
        <w:t>（一）简介</w:t>
      </w:r>
    </w:p>
    <w:p w:rsidR="00D7654A" w:rsidRDefault="00A70930">
      <w:pPr>
        <w:pStyle w:val="1"/>
        <w:spacing w:line="400" w:lineRule="exact"/>
        <w:ind w:leftChars="171" w:left="359"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“功能目的论”兴起于20世纪70年代，代表人物有赖斯，费米尔，曼塔利和诺德。其核心概念是：决定翻译过程的最主要因素是整体翻译行为的目的。根据目的论，任何</w:t>
      </w:r>
      <w:r>
        <w:rPr>
          <w:rFonts w:asciiTheme="minorEastAsia" w:hAnsiTheme="minorEastAsia" w:hint="eastAsia"/>
          <w:szCs w:val="21"/>
        </w:rPr>
        <w:lastRenderedPageBreak/>
        <w:t>翻译，其最高法则都是“目的法则”。翻译行为所要达到的目的和预测效果决定了翻译的过程，即“目的决定手段”，特定的预期效果决定了译文处理的手段。翻译行为所要达到的目的决定了翻译所应采取的方法和策略</w:t>
      </w:r>
      <w:r>
        <w:rPr>
          <w:rFonts w:asciiTheme="minorEastAsia" w:hAnsiTheme="minorEastAsia" w:hint="eastAsia"/>
          <w:szCs w:val="21"/>
          <w:vertAlign w:val="superscript"/>
        </w:rPr>
        <w:t>［5］</w:t>
      </w:r>
      <w:r>
        <w:rPr>
          <w:rFonts w:asciiTheme="minorEastAsia" w:hAnsiTheme="minorEastAsia" w:hint="eastAsia"/>
          <w:szCs w:val="21"/>
        </w:rPr>
        <w:t>。</w:t>
      </w:r>
    </w:p>
    <w:p w:rsidR="00D7654A" w:rsidRDefault="00A70930">
      <w:pPr>
        <w:spacing w:line="40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（二）功能目的论的启示</w:t>
      </w:r>
    </w:p>
    <w:p w:rsidR="00D7654A" w:rsidRDefault="00A70930">
      <w:pPr>
        <w:pStyle w:val="1"/>
        <w:spacing w:line="400" w:lineRule="exact"/>
        <w:ind w:leftChars="171" w:left="359"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功能目的论倡导以“读者为中心”或“目的语文化”为导向</w:t>
      </w:r>
      <w:r>
        <w:rPr>
          <w:rFonts w:asciiTheme="minorEastAsia" w:hAnsiTheme="minorEastAsia" w:hint="eastAsia"/>
          <w:szCs w:val="21"/>
          <w:vertAlign w:val="superscript"/>
        </w:rPr>
        <w:t>［6］</w:t>
      </w:r>
      <w:r>
        <w:rPr>
          <w:rFonts w:asciiTheme="minorEastAsia" w:hAnsiTheme="minorEastAsia" w:hint="eastAsia"/>
          <w:szCs w:val="21"/>
        </w:rPr>
        <w:t>，因而很适合民俗文化外宣资料这种目的性很强的“信息型” 的文本翻译。一方面要把佛山民俗文化的相关信息和知识传达给外国友人；另一方面则注重的是宣传效果，要让佛山文化走向世界。因此，在功能目的论的指导下，佛山民俗文化的英译必须兼顾以下两个方面：</w:t>
      </w:r>
    </w:p>
    <w:p w:rsidR="00D7654A" w:rsidRDefault="00A70930">
      <w:pPr>
        <w:pStyle w:val="1"/>
        <w:spacing w:line="400" w:lineRule="exact"/>
        <w:ind w:leftChars="171" w:left="359"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1.兼顾受众者的接受度。如果不考虑接受者是否能接受而死译硬译，必然会阻碍外国友人了解佛山文化。</w:t>
      </w:r>
    </w:p>
    <w:p w:rsidR="00D7654A" w:rsidRDefault="00A70930">
      <w:pPr>
        <w:pStyle w:val="1"/>
        <w:spacing w:line="400" w:lineRule="exact"/>
        <w:ind w:leftChars="171" w:left="359"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2.兼顾民俗文化的传播。民间艺术和民俗事象文化底蕴深厚，应根据跨文化交际原则灵活地传达其文化精髓，展现民俗文化的魅力。</w:t>
      </w:r>
    </w:p>
    <w:p w:rsidR="00D7654A" w:rsidRDefault="00A70930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二、佛山市民俗文化翻译案例分析</w:t>
      </w:r>
    </w:p>
    <w:p w:rsidR="00D7654A" w:rsidRDefault="00A70930">
      <w:pPr>
        <w:pStyle w:val="1"/>
        <w:spacing w:line="400" w:lineRule="exact"/>
        <w:ind w:leftChars="171" w:left="359"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佛山是一个有着近2000年历史的文明古城，民俗文化源远流长，民俗事象异彩纷呈，是岭南民俗文化的典型代表。绚烂多彩的佛山民俗体现在民间美术、传统手工技艺、民间信仰、民间音乐、民间节庆、民间娱乐习俗等方面。而佛山地处珠三角，经济发达，国际知名度不断提升，越来越多的国外游客涌入到佛山。如何让外国游客体验到独特的佛山本土文化，了解佛山民俗文化的精髓，将佛山深厚的文化底蕴准确地传播给外国游客，是翻译研究者首先要研究思考的问题。以下笔者通过从佛山各种文化宣传英译资料中摘取的案例，以目的论为指导，来研究和探讨佛山民俗文化的翻译。</w:t>
      </w:r>
    </w:p>
    <w:p w:rsidR="00D7654A" w:rsidRDefault="00A70930">
      <w:pPr>
        <w:pStyle w:val="1"/>
        <w:spacing w:line="400" w:lineRule="exact"/>
        <w:ind w:leftChars="171" w:left="359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（一）英译加注释</w:t>
      </w:r>
    </w:p>
    <w:p w:rsidR="00D7654A" w:rsidRDefault="00A70930">
      <w:pPr>
        <w:spacing w:line="400" w:lineRule="exact"/>
        <w:ind w:leftChars="171" w:left="359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在佛山民间艺术社的宣传资料中，有关“佛山秋色”的翻译有两个版本“</w:t>
      </w:r>
      <w:r>
        <w:rPr>
          <w:rFonts w:ascii="Times New Roman" w:hAnsi="Times New Roman" w:cs="Times New Roman"/>
          <w:szCs w:val="21"/>
        </w:rPr>
        <w:t>Autumn colour in Foshan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 xml:space="preserve"> 和 “</w:t>
      </w:r>
      <w:r>
        <w:rPr>
          <w:rFonts w:ascii="Times New Roman" w:hAnsi="Times New Roman" w:cs="Times New Roman"/>
          <w:szCs w:val="21"/>
        </w:rPr>
        <w:t>Qiuse parade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。笔者认为，这两个版本的翻译都没有充分传达 “佛山秋色”所包含的文化底蕴。佛山秋色是承载着广东佛山民间智慧的欢乐传统民俗节庆活动。从佛山民间“孩童耍乐”舞草龙庆丰收活动逐渐发展而成。一般在秋天举行，通过游行的方式展出各种丰富多彩的项目，包括精美工艺品、民间音乐、舞龙、舞狮等。第一个版本的翻译会让外国人根本无法理解。而第二个译文虽然有了音译，但是还应该加上注释。因此笔者认为“佛山秋色”应该采用音译加注释的方法翻译成“</w:t>
      </w:r>
      <w:r>
        <w:rPr>
          <w:rFonts w:ascii="Times New Roman" w:hAnsi="Times New Roman" w:cs="Times New Roman"/>
          <w:szCs w:val="21"/>
        </w:rPr>
        <w:t>Foshan Qiuse(a public folk parade happens at a regular time each autumn, that commemorates a celebration held by Foshan people for the autumn harvest over 600 years ago</w:t>
      </w:r>
      <w:r>
        <w:rPr>
          <w:rFonts w:asciiTheme="minorEastAsia" w:hAnsiTheme="minorEastAsia" w:hint="eastAsia"/>
          <w:szCs w:val="21"/>
        </w:rPr>
        <w:t>).这样可以让外国读者充分了解佛山秋色所包含的文化内涵。</w:t>
      </w:r>
    </w:p>
    <w:p w:rsidR="00D7654A" w:rsidRDefault="00A70930">
      <w:pPr>
        <w:spacing w:line="400" w:lineRule="exact"/>
        <w:ind w:left="36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佛山市魁星阁内的民俗介绍中“佛山十番 ”的译文为“</w:t>
      </w:r>
      <w:r>
        <w:rPr>
          <w:rFonts w:ascii="Times New Roman" w:hAnsi="Times New Roman" w:cs="Times New Roman"/>
          <w:szCs w:val="21"/>
        </w:rPr>
        <w:t>Shi Fan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。这一单纯的音译文也没有能充分传达 “十番”在佛山民俗文化的真实含义，而且也会让外国人困惑：</w:t>
      </w:r>
      <w:r>
        <w:rPr>
          <w:rFonts w:ascii="Times New Roman" w:hAnsi="Times New Roman" w:cs="Times New Roman"/>
          <w:szCs w:val="21"/>
        </w:rPr>
        <w:t>Shi Fan</w:t>
      </w:r>
      <w:r>
        <w:rPr>
          <w:rFonts w:asciiTheme="minorEastAsia" w:hAnsiTheme="minorEastAsia" w:hint="eastAsia"/>
          <w:szCs w:val="21"/>
        </w:rPr>
        <w:t xml:space="preserve"> 到底是指什么？“佛山十番”是佛山的传统民间乐器曲种，它是纯粹以打击乐</w:t>
      </w:r>
      <w:r>
        <w:rPr>
          <w:rFonts w:asciiTheme="minorEastAsia" w:hAnsiTheme="minorEastAsia" w:hint="eastAsia"/>
          <w:szCs w:val="21"/>
        </w:rPr>
        <w:lastRenderedPageBreak/>
        <w:t>进行的团体表演。佛山十番使用的乐器有大锣，云鼓，翘心锣，苏锣，二锣，大班锣，沙鼓，响螺，大钹，飞钹。所以应该在</w:t>
      </w:r>
      <w:r>
        <w:rPr>
          <w:rFonts w:ascii="Times New Roman" w:hAnsi="Times New Roman" w:cs="Times New Roman"/>
          <w:szCs w:val="21"/>
        </w:rPr>
        <w:t>Shi Fan</w:t>
      </w:r>
      <w:r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后补充对这一民间音乐表演形式的阐释: </w:t>
      </w:r>
      <w:r>
        <w:rPr>
          <w:rFonts w:ascii="Times New Roman" w:hAnsi="Times New Roman" w:cs="Times New Roman"/>
          <w:szCs w:val="21"/>
        </w:rPr>
        <w:t>a folk music played by an ensemble with ten traditional percussion instruments</w:t>
      </w:r>
      <w:r>
        <w:rPr>
          <w:rFonts w:ascii="Times New Roman" w:hAnsiTheme="minorEastAsia" w:cs="Times New Roman"/>
          <w:szCs w:val="21"/>
        </w:rPr>
        <w:t>，</w:t>
      </w:r>
      <w:r>
        <w:rPr>
          <w:rFonts w:asciiTheme="minorEastAsia" w:hAnsiTheme="minorEastAsia" w:hint="eastAsia"/>
          <w:szCs w:val="21"/>
        </w:rPr>
        <w:t>这样便可以让外国读者了解到</w:t>
      </w:r>
      <w:r>
        <w:rPr>
          <w:rFonts w:ascii="Times New Roman" w:hAnsi="Times New Roman" w:cs="Times New Roman"/>
          <w:szCs w:val="21"/>
        </w:rPr>
        <w:t>Shi Fan</w:t>
      </w:r>
      <w:r>
        <w:rPr>
          <w:rFonts w:asciiTheme="minorEastAsia" w:hAnsiTheme="minorEastAsia" w:hint="eastAsia"/>
          <w:szCs w:val="21"/>
        </w:rPr>
        <w:t>的真正内涵。</w:t>
      </w:r>
    </w:p>
    <w:p w:rsidR="00D7654A" w:rsidRDefault="00A70930">
      <w:pPr>
        <w:spacing w:line="400" w:lineRule="exact"/>
        <w:ind w:left="36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(二） 折中译法（音意结合法）</w:t>
      </w:r>
    </w:p>
    <w:p w:rsidR="00D7654A" w:rsidRDefault="00A70930">
      <w:pPr>
        <w:spacing w:line="400" w:lineRule="exact"/>
        <w:ind w:left="36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有外宣资料把“石湾公仔”译为“</w:t>
      </w:r>
      <w:r>
        <w:rPr>
          <w:rFonts w:ascii="Times New Roman" w:hAnsi="Times New Roman" w:cs="Times New Roman"/>
          <w:szCs w:val="21"/>
        </w:rPr>
        <w:t>Shiwan Figurines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 xml:space="preserve"> 或 “</w:t>
      </w:r>
      <w:r>
        <w:rPr>
          <w:rFonts w:ascii="Times New Roman" w:hAnsi="Times New Roman" w:cs="Times New Roman"/>
          <w:szCs w:val="21"/>
        </w:rPr>
        <w:t>Shiwan Gongzai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。这两个译名都没有准确地译出“石湾公仔”的内涵。在《牛津高阶英汉双解词典》中</w:t>
      </w:r>
      <w:r>
        <w:rPr>
          <w:rFonts w:ascii="Times New Roman" w:hAnsi="Times New Roman" w:cs="Times New Roman"/>
          <w:szCs w:val="21"/>
        </w:rPr>
        <w:t>figurine</w:t>
      </w:r>
      <w:r>
        <w:rPr>
          <w:rFonts w:asciiTheme="minorEastAsia" w:hAnsiTheme="minorEastAsia" w:hint="eastAsia"/>
          <w:szCs w:val="21"/>
        </w:rPr>
        <w:t>的解释是：</w:t>
      </w:r>
      <w:r>
        <w:rPr>
          <w:rFonts w:ascii="Times New Roman" w:hAnsi="Times New Roman" w:cs="Times New Roman"/>
          <w:szCs w:val="21"/>
        </w:rPr>
        <w:t>a small statue of a person or an animal used as an ornament</w:t>
      </w:r>
      <w:r>
        <w:rPr>
          <w:rFonts w:asciiTheme="minorEastAsia" w:hAnsiTheme="minorEastAsia" w:cs="Times New Roman" w:hint="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而石湾公仔又称石湾艺术陶瓷，是广东省佛山市石湾出产的陶瓷工艺品，产品种类繁多，分为人物、动物、陶瓷、器皿造型、园林陶艺及微塑五大类。一方面，“</w:t>
      </w:r>
      <w:r>
        <w:rPr>
          <w:rFonts w:ascii="Times New Roman" w:hAnsi="Times New Roman" w:cs="Times New Roman"/>
          <w:szCs w:val="21"/>
        </w:rPr>
        <w:t>figurine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不能涵盖石湾公仔中器皿造型，园林陶艺等。另一方面，“</w:t>
      </w:r>
      <w:r>
        <w:rPr>
          <w:rFonts w:ascii="Times New Roman" w:hAnsi="Times New Roman" w:cs="Times New Roman"/>
          <w:szCs w:val="21"/>
        </w:rPr>
        <w:t>Shiwan Figurines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这个译名也没有体现陶瓷这一重要属性。而 “</w:t>
      </w:r>
      <w:r>
        <w:rPr>
          <w:rFonts w:ascii="Times New Roman" w:hAnsi="Times New Roman" w:cs="Times New Roman"/>
          <w:szCs w:val="21"/>
        </w:rPr>
        <w:t>Shiwan Gongzai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这一纯音译更不能阐释石湾公仔的含义。因此笔者认为 “石湾公仔”可以采用折中译法，即一半音译，一半意译，结合译为“</w:t>
      </w:r>
      <w:r>
        <w:rPr>
          <w:rFonts w:ascii="Times New Roman" w:hAnsi="Times New Roman" w:cs="Times New Roman"/>
          <w:szCs w:val="21"/>
        </w:rPr>
        <w:t>Shiwan ceramic craftwork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。</w:t>
      </w:r>
    </w:p>
    <w:p w:rsidR="00D7654A" w:rsidRDefault="00A70930">
      <w:pPr>
        <w:spacing w:line="400" w:lineRule="exact"/>
        <w:ind w:left="36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(三)折中译法加注释</w:t>
      </w:r>
    </w:p>
    <w:p w:rsidR="00D7654A" w:rsidRDefault="00A70930">
      <w:pPr>
        <w:spacing w:line="400" w:lineRule="exact"/>
        <w:ind w:left="36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在佛山市人民政府新闻办公室的对外宣传资料中，对“粤剧”的翻译有三个版本： “</w:t>
      </w:r>
      <w:r>
        <w:rPr>
          <w:rFonts w:ascii="Times New Roman" w:hAnsi="Times New Roman" w:cs="Times New Roman"/>
          <w:szCs w:val="21"/>
        </w:rPr>
        <w:t>Cantonese Yueju opera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,</w:t>
      </w:r>
      <w:r>
        <w:rPr>
          <w:rFonts w:asciiTheme="minorEastAsia" w:hAnsiTheme="minorEastAsia"/>
          <w:szCs w:val="21"/>
        </w:rPr>
        <w:t xml:space="preserve"> “</w:t>
      </w:r>
      <w:r>
        <w:rPr>
          <w:rFonts w:ascii="Times New Roman" w:hAnsi="Times New Roman" w:cs="Times New Roman"/>
          <w:szCs w:val="21"/>
        </w:rPr>
        <w:t>Canton opera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和“</w:t>
      </w:r>
      <w:r>
        <w:rPr>
          <w:rFonts w:ascii="Times New Roman" w:hAnsi="Times New Roman" w:cs="Times New Roman"/>
          <w:szCs w:val="21"/>
        </w:rPr>
        <w:t>Yueju opera</w:t>
      </w:r>
      <w:r>
        <w:rPr>
          <w:rFonts w:asciiTheme="minorEastAsia" w:hAnsiTheme="minorEastAsia" w:cs="Times New Roman" w:hint="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。笔者认为这三种翻译都不能正确传达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 w:hint="eastAsia"/>
          <w:szCs w:val="21"/>
        </w:rPr>
        <w:t>粤剧”所要表达的意思。首先，“</w:t>
      </w:r>
      <w:r>
        <w:rPr>
          <w:rFonts w:ascii="Times New Roman" w:hAnsi="Times New Roman" w:cs="Times New Roman"/>
          <w:szCs w:val="21"/>
        </w:rPr>
        <w:t>ju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和“</w:t>
      </w:r>
      <w:r>
        <w:rPr>
          <w:rFonts w:ascii="Times New Roman" w:hAnsi="Times New Roman" w:cs="Times New Roman"/>
          <w:szCs w:val="21"/>
        </w:rPr>
        <w:t>opera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就意义重复了。其次，把粤剧译成</w:t>
      </w:r>
      <w:r>
        <w:rPr>
          <w:rFonts w:asciiTheme="minorEastAsia" w:hAnsiTheme="minorEastAsia"/>
          <w:szCs w:val="21"/>
        </w:rPr>
        <w:t xml:space="preserve"> “</w:t>
      </w:r>
      <w:r>
        <w:rPr>
          <w:rFonts w:ascii="Times New Roman" w:hAnsi="Times New Roman" w:cs="Times New Roman"/>
          <w:szCs w:val="21"/>
        </w:rPr>
        <w:t>Canton opera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也不太准确。粤剧发源于广东佛山，是广东省最大的地方戏曲剧种，流行于珠江三角洲等广府民系聚居地。但广东除了粤剧之外，还有汉剧，潮剧，正字戏等，因此， “</w:t>
      </w:r>
      <w:r>
        <w:rPr>
          <w:rFonts w:ascii="Times New Roman" w:hAnsi="Times New Roman" w:cs="Times New Roman"/>
          <w:szCs w:val="21"/>
        </w:rPr>
        <w:t>Canton opera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也有失准确。笔者认为戏曲一般以发源地或流行地的简称命名，如京剧，豫剧，湘剧等。因此，在翻译的时候我们可以先采用折中法，音意结合译成 “</w:t>
      </w:r>
      <w:r>
        <w:rPr>
          <w:rFonts w:ascii="Times New Roman" w:hAnsi="Times New Roman" w:cs="Times New Roman"/>
          <w:szCs w:val="21"/>
        </w:rPr>
        <w:t>Yue Opera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使其成为一个专有名词。但由于粤剧和越剧在中文里的拼音是相同的，所以，笔者认为可以在折中译法后面再加个注释译成:</w:t>
      </w:r>
      <w:r>
        <w:rPr>
          <w:rFonts w:asciiTheme="minorEastAsia" w:hAnsiTheme="minorEastAsia"/>
          <w:szCs w:val="21"/>
        </w:rPr>
        <w:t xml:space="preserve"> “</w:t>
      </w:r>
      <w:r>
        <w:rPr>
          <w:rFonts w:ascii="Times New Roman" w:hAnsi="Times New Roman" w:cs="Times New Roman"/>
          <w:szCs w:val="21"/>
        </w:rPr>
        <w:t>Yue Opera(originated from and popular in Guangdong Province</w:t>
      </w:r>
      <w:r>
        <w:rPr>
          <w:rFonts w:asciiTheme="minorEastAsia" w:hAnsiTheme="minorEastAsia" w:cs="Times New Roman"/>
          <w:szCs w:val="21"/>
        </w:rPr>
        <w:t>)</w:t>
      </w:r>
      <w:r>
        <w:rPr>
          <w:rFonts w:asciiTheme="minorEastAsia" w:hAnsiTheme="minorEastAsia" w:hint="eastAsia"/>
          <w:szCs w:val="21"/>
        </w:rPr>
        <w:t>。</w:t>
      </w:r>
    </w:p>
    <w:p w:rsidR="00D7654A" w:rsidRDefault="00A70930">
      <w:pPr>
        <w:spacing w:line="400" w:lineRule="exact"/>
        <w:ind w:left="360" w:firstLine="48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(四)增译法</w:t>
      </w:r>
    </w:p>
    <w:p w:rsidR="00D7654A" w:rsidRDefault="00A70930">
      <w:pPr>
        <w:spacing w:line="400" w:lineRule="exact"/>
        <w:ind w:left="36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关于佛山“行通济”，在佛山图书馆的对外宣传资料中，有以下几种翻译：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wandering about Tongji Bridge</w:t>
      </w:r>
      <w:r>
        <w:rPr>
          <w:rFonts w:asciiTheme="minorEastAsia" w:hAnsiTheme="minorEastAsia" w:cs="Times New Roman"/>
          <w:szCs w:val="21"/>
        </w:rPr>
        <w:t>”; “</w:t>
      </w:r>
      <w:r>
        <w:rPr>
          <w:rFonts w:ascii="Times New Roman" w:hAnsi="Times New Roman" w:cs="Times New Roman"/>
          <w:szCs w:val="21"/>
        </w:rPr>
        <w:t>proceeds over the Tongji Bridge during the Lantern Festival</w:t>
      </w:r>
      <w:r>
        <w:rPr>
          <w:rFonts w:asciiTheme="minorEastAsia" w:hAnsiTheme="minorEastAsia" w:cs="Times New Roman"/>
          <w:szCs w:val="21"/>
        </w:rPr>
        <w:t>”; “</w:t>
      </w:r>
      <w:r>
        <w:rPr>
          <w:rFonts w:ascii="Times New Roman" w:hAnsi="Times New Roman" w:cs="Times New Roman"/>
          <w:szCs w:val="21"/>
        </w:rPr>
        <w:t>walking Tongji Bridge on the lantern day</w:t>
      </w:r>
      <w:r>
        <w:rPr>
          <w:rFonts w:asciiTheme="minorEastAsia" w:hAnsiTheme="minorEastAsia" w:cs="Times New Roman"/>
          <w:szCs w:val="21"/>
        </w:rPr>
        <w:t>.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这几种翻译都没有传达出 “行通济”的独特的文化含义。“行通济”是佛山的传统民间习俗，指每年正月十六佛山乡民行“通济桥”以求来年风调雨顺，心想事成和家庭幸福等。这一民间游玩祈福活动寄托着佛山人对生活的美好期盼和祝愿。因此，在翻译的时候，应该注意到“行通济”不仅仅关注的是“行走通济桥”，同时“行通济”还包含着重要的祈福文化。笔者认为，可以运用增译法，在保留“行走通济桥”这一层含义的基础上，再增加祈福文化的翻译。</w:t>
      </w:r>
      <w:r>
        <w:rPr>
          <w:rFonts w:asciiTheme="minorEastAsia" w:hAnsiTheme="minorEastAsia" w:hint="eastAsia"/>
          <w:szCs w:val="21"/>
        </w:rPr>
        <w:lastRenderedPageBreak/>
        <w:t>这样“行通济”就可以译为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walk over the Tongji Bridge and pray for the well-being for the next year.</w:t>
      </w:r>
      <w:r>
        <w:rPr>
          <w:rFonts w:asciiTheme="minorEastAsia" w:hAnsiTheme="minorEastAsia" w:cs="Times New Roman"/>
          <w:szCs w:val="21"/>
        </w:rPr>
        <w:t>”</w:t>
      </w:r>
      <w:r>
        <w:rPr>
          <w:rFonts w:asciiTheme="minorEastAsia" w:hAnsiTheme="minorEastAsia" w:hint="eastAsia"/>
          <w:szCs w:val="21"/>
        </w:rPr>
        <w:t>。“行通济”的文化内涵就能体现出来。</w:t>
      </w:r>
    </w:p>
    <w:p w:rsidR="00D7654A" w:rsidRDefault="00A70930">
      <w:pPr>
        <w:spacing w:line="400" w:lineRule="exact"/>
        <w:ind w:left="36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所举的案例中，“行通济”，“佛山十番”以及“佛山秋色”这些都是佛山民俗文化中独特的文化事象，而原译文都未能向外国读者有效准确地传达其文化底蕴，有的译文甚至没有考虑其文化意义，这些翻译不仅没有发挥对外宣传的作用，甚至还阻碍了佛山文化“走出去”的进程。因而其翻译是不可取的。</w:t>
      </w:r>
    </w:p>
    <w:p w:rsidR="00D7654A" w:rsidRDefault="00A70930">
      <w:pPr>
        <w:spacing w:line="400" w:lineRule="exact"/>
        <w:ind w:left="36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而笔者在功能目的论的指导下，遵照功能目的论的两个原则：一是充分考虑受众者的接受度；二是兼顾文化内涵的传达，从而笔者提出了四种翻译方法，将原文中有关佛山民俗文化元素完好地保存在译文中，这样可以有效而准确地传达本土的民俗文化事象。</w:t>
      </w:r>
    </w:p>
    <w:p w:rsidR="00D7654A" w:rsidRDefault="00A70930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结语</w:t>
      </w:r>
    </w:p>
    <w:p w:rsidR="00D7654A" w:rsidRDefault="00A70930">
      <w:pPr>
        <w:pStyle w:val="1"/>
        <w:spacing w:line="400" w:lineRule="exact"/>
        <w:ind w:leftChars="171" w:left="359"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功能目的论认为翻译是一种有目的的行为，一种交际行为，一种跨文化的行为。遵循目的原则，连贯原则和忠实原则，为民俗文化的翻译研究提供了一个新的视角。在提升文化软实力的大背景下，民俗文化的传播与交流显得尤为重要。在翻译民俗文化的过程中既要追求译文符合英语的表达习惯，同时又要尽可能地保留民俗文化中原有的文化内涵，这就要求翻译工作者灵活运用翻译策略，充分考虑各方面的因素，从而更好</w:t>
      </w:r>
      <w:r>
        <w:rPr>
          <w:rFonts w:asciiTheme="minorEastAsia" w:hAnsiTheme="minorEastAsia"/>
          <w:szCs w:val="21"/>
          <w:lang w:val="en-CA"/>
        </w:rPr>
        <w:t>地</w:t>
      </w:r>
      <w:r>
        <w:rPr>
          <w:rFonts w:asciiTheme="minorEastAsia" w:hAnsiTheme="minorEastAsia" w:hint="eastAsia"/>
          <w:szCs w:val="21"/>
        </w:rPr>
        <w:t>实现文化交流，助力于“文化走出去”的历史进程。</w:t>
      </w:r>
    </w:p>
    <w:p w:rsidR="00D7654A" w:rsidRDefault="00D7654A">
      <w:pPr>
        <w:spacing w:line="400" w:lineRule="exact"/>
        <w:rPr>
          <w:rFonts w:asciiTheme="minorEastAsia" w:hAnsiTheme="minorEastAsia"/>
          <w:b/>
          <w:szCs w:val="21"/>
        </w:rPr>
      </w:pPr>
    </w:p>
    <w:p w:rsidR="00D7654A" w:rsidRDefault="00A70930">
      <w:pPr>
        <w:spacing w:line="400" w:lineRule="exact"/>
        <w:ind w:leftChars="100" w:left="21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参考文献</w:t>
      </w:r>
    </w:p>
    <w:p w:rsidR="00D7654A" w:rsidRDefault="00A70930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［1］</w:t>
      </w:r>
      <w:r>
        <w:rPr>
          <w:rFonts w:asciiTheme="minorEastAsia" w:hAnsiTheme="minorEastAsia" w:hint="eastAsia"/>
          <w:bCs/>
          <w:szCs w:val="21"/>
        </w:rPr>
        <w:t>丁树德.关于民俗名称的英译［J］.中国翻译.1995.(3):55-56</w:t>
      </w:r>
    </w:p>
    <w:p w:rsidR="00D7654A" w:rsidRDefault="00A70930">
      <w:pPr>
        <w:spacing w:line="40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>［2］</w:t>
      </w:r>
      <w:r>
        <w:rPr>
          <w:rFonts w:asciiTheme="minorEastAsia" w:hAnsiTheme="minorEastAsia" w:hint="eastAsia"/>
          <w:bCs/>
          <w:szCs w:val="21"/>
        </w:rPr>
        <w:t>蒋红红.民俗文化翻译探索［J］.国外外语教学.2007.（3</w:t>
      </w:r>
      <w:r>
        <w:rPr>
          <w:rFonts w:asciiTheme="minorEastAsia" w:hAnsiTheme="minorEastAsia"/>
          <w:bCs/>
          <w:szCs w:val="21"/>
        </w:rPr>
        <w:t>）</w:t>
      </w:r>
      <w:r>
        <w:rPr>
          <w:rFonts w:asciiTheme="minorEastAsia" w:hAnsiTheme="minorEastAsia" w:hint="eastAsia"/>
          <w:bCs/>
          <w:szCs w:val="21"/>
        </w:rPr>
        <w:t>：52-56</w:t>
      </w:r>
    </w:p>
    <w:p w:rsidR="00D7654A" w:rsidRDefault="00A70930">
      <w:pPr>
        <w:spacing w:line="400" w:lineRule="exact"/>
        <w:ind w:left="315" w:hangingChars="150" w:hanging="315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>［3］</w:t>
      </w:r>
      <w:r>
        <w:rPr>
          <w:rFonts w:asciiTheme="minorEastAsia" w:hAnsiTheme="minorEastAsia" w:hint="eastAsia"/>
          <w:bCs/>
          <w:szCs w:val="21"/>
        </w:rPr>
        <w:t>马慈祥.民俗文化词语的可译性限度以及翻译策略［J］.青海民族研究.2009（7</w:t>
      </w:r>
      <w:r>
        <w:rPr>
          <w:rFonts w:asciiTheme="minorEastAsia" w:hAnsiTheme="minorEastAsia"/>
          <w:bCs/>
          <w:szCs w:val="21"/>
        </w:rPr>
        <w:t>）</w:t>
      </w:r>
      <w:r>
        <w:rPr>
          <w:rFonts w:asciiTheme="minorEastAsia" w:hAnsiTheme="minorEastAsia" w:hint="eastAsia"/>
          <w:bCs/>
          <w:szCs w:val="21"/>
        </w:rPr>
        <w:t>:51-53</w:t>
      </w:r>
    </w:p>
    <w:p w:rsidR="00D7654A" w:rsidRDefault="00A70930">
      <w:pPr>
        <w:spacing w:line="400" w:lineRule="exact"/>
        <w:ind w:left="420" w:hangingChars="200" w:hanging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>［4］</w:t>
      </w:r>
      <w:r>
        <w:rPr>
          <w:rFonts w:asciiTheme="minorEastAsia" w:hAnsiTheme="minorEastAsia" w:hint="eastAsia"/>
          <w:bCs/>
          <w:szCs w:val="21"/>
        </w:rPr>
        <w:t>麦红宇.广西民俗文化词英译案例评析［J］.广西民族大学学报（哲学社会科学版）2012(1):93-96</w:t>
      </w:r>
    </w:p>
    <w:p w:rsidR="00D7654A" w:rsidRDefault="00A70930">
      <w:pPr>
        <w:spacing w:line="400" w:lineRule="exact"/>
        <w:ind w:left="315" w:hangingChars="150" w:hanging="315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>［5］王爱霞.目的论视阈下中国民俗英译探讨</w:t>
      </w:r>
      <w:r>
        <w:rPr>
          <w:rFonts w:asciiTheme="minorEastAsia" w:hAnsiTheme="minorEastAsia" w:hint="eastAsia"/>
          <w:bCs/>
          <w:szCs w:val="21"/>
        </w:rPr>
        <w:t>［J］.长江大学学报(社科版).2014（9）：83-86</w:t>
      </w:r>
    </w:p>
    <w:p w:rsidR="00D7654A" w:rsidRDefault="00A70930">
      <w:pPr>
        <w:spacing w:line="400" w:lineRule="exact"/>
        <w:ind w:left="630" w:hangingChars="300" w:hanging="63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>［6］苏莹.</w:t>
      </w:r>
      <w:r>
        <w:rPr>
          <w:rFonts w:asciiTheme="minorEastAsia" w:hAnsiTheme="minorEastAsia"/>
          <w:szCs w:val="21"/>
        </w:rPr>
        <w:t xml:space="preserve"> “</w:t>
      </w:r>
      <w:r>
        <w:rPr>
          <w:rFonts w:asciiTheme="minorEastAsia" w:hAnsiTheme="minorEastAsia" w:hint="eastAsia"/>
          <w:szCs w:val="21"/>
        </w:rPr>
        <w:t>目的论“视角下的中原武术文化外宣翻译研究</w:t>
      </w:r>
      <w:r>
        <w:rPr>
          <w:rFonts w:asciiTheme="minorEastAsia" w:hAnsiTheme="minorEastAsia" w:hint="eastAsia"/>
          <w:bCs/>
          <w:szCs w:val="21"/>
        </w:rPr>
        <w:t>［J］.安徽电子信息职业技术学院学报.2011（4）：85-87</w:t>
      </w:r>
    </w:p>
    <w:p w:rsidR="00D7654A" w:rsidRPr="001028BE" w:rsidRDefault="00D7654A">
      <w:pPr>
        <w:spacing w:line="400" w:lineRule="exact"/>
        <w:ind w:left="630" w:hangingChars="300" w:hanging="630"/>
        <w:rPr>
          <w:rFonts w:asciiTheme="minorEastAsia" w:hAnsiTheme="minorEastAsia"/>
          <w:bCs/>
          <w:szCs w:val="21"/>
        </w:rPr>
      </w:pPr>
    </w:p>
    <w:p w:rsidR="00A7200D" w:rsidRDefault="001028BE" w:rsidP="00A7200D">
      <w:pPr>
        <w:spacing w:line="40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On the Spread of Folk Culture</w:t>
      </w:r>
      <w:r>
        <w:rPr>
          <w:rFonts w:ascii="Times New Roman" w:hAnsi="Times New Roman" w:cs="Times New Roman"/>
          <w:szCs w:val="21"/>
        </w:rPr>
        <w:t xml:space="preserve"> from the </w:t>
      </w:r>
      <w:r>
        <w:rPr>
          <w:rFonts w:ascii="Times New Roman" w:hAnsi="Times New Roman" w:cs="Times New Roman" w:hint="eastAsia"/>
          <w:szCs w:val="21"/>
        </w:rPr>
        <w:t>P</w:t>
      </w:r>
      <w:r>
        <w:rPr>
          <w:rFonts w:ascii="Times New Roman" w:hAnsi="Times New Roman" w:cs="Times New Roman"/>
          <w:szCs w:val="21"/>
        </w:rPr>
        <w:t>erspective of Skopos Theory</w:t>
      </w:r>
      <w:r>
        <w:rPr>
          <w:rFonts w:ascii="Times New Roman" w:hAnsi="Times New Roman" w:cs="Times New Roman" w:hint="eastAsia"/>
          <w:szCs w:val="21"/>
        </w:rPr>
        <w:t>——</w:t>
      </w:r>
      <w:r>
        <w:rPr>
          <w:rFonts w:ascii="Times New Roman" w:hAnsi="Times New Roman" w:cs="Times New Roman" w:hint="eastAsia"/>
          <w:szCs w:val="21"/>
        </w:rPr>
        <w:t>a Chinese-English Translation Study of Foshan Folk Culture</w:t>
      </w:r>
    </w:p>
    <w:p w:rsidR="00D7654A" w:rsidRDefault="00A70930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</w:t>
      </w:r>
      <w:r w:rsidR="001028BE">
        <w:rPr>
          <w:rFonts w:hint="eastAsia"/>
        </w:rPr>
        <w:t>ZHOU</w:t>
      </w:r>
      <w:r>
        <w:rPr>
          <w:rFonts w:ascii="Times New Roman" w:hAnsi="Times New Roman" w:cs="Times New Roman"/>
          <w:szCs w:val="21"/>
        </w:rPr>
        <w:t xml:space="preserve"> Li</w:t>
      </w:r>
    </w:p>
    <w:p w:rsidR="00D7654A" w:rsidRDefault="00A70930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Foshan Science and Technology 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/>
          <w:szCs w:val="21"/>
        </w:rPr>
        <w:t>ollege</w:t>
      </w:r>
      <w:r>
        <w:rPr>
          <w:rFonts w:ascii="Times New Roman" w:hAnsi="Times New Roman" w:cs="Times New Roman" w:hint="eastAsia"/>
          <w:szCs w:val="21"/>
        </w:rPr>
        <w:t>,</w:t>
      </w:r>
      <w:r w:rsidR="001028BE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School of Liberal Arts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Guangdong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Foshan  528000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China)</w:t>
      </w:r>
    </w:p>
    <w:p w:rsidR="00D7654A" w:rsidRDefault="00D7654A">
      <w:pPr>
        <w:spacing w:line="400" w:lineRule="exact"/>
        <w:rPr>
          <w:rFonts w:ascii="Times New Roman" w:hAnsi="Times New Roman" w:cs="Times New Roman"/>
          <w:szCs w:val="21"/>
        </w:rPr>
      </w:pPr>
    </w:p>
    <w:p w:rsidR="00D7654A" w:rsidRDefault="00A70930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Abstract:</w:t>
      </w:r>
      <w:r>
        <w:rPr>
          <w:rFonts w:ascii="Times New Roman" w:hAnsi="Times New Roman" w:cs="Times New Roman"/>
          <w:szCs w:val="21"/>
        </w:rPr>
        <w:t xml:space="preserve"> Folk culture translation plays an essential role in cultural exchange and cultural </w:t>
      </w:r>
      <w:r>
        <w:rPr>
          <w:rFonts w:ascii="Times New Roman" w:hAnsi="Times New Roman" w:cs="Times New Roman"/>
          <w:szCs w:val="21"/>
        </w:rPr>
        <w:lastRenderedPageBreak/>
        <w:t xml:space="preserve">transmission. From the perspective of Skopos Theory, this paper analyzes the translation examples and puts forwards the translation strategies to </w:t>
      </w:r>
      <w:r w:rsidR="001028BE">
        <w:rPr>
          <w:rFonts w:hint="eastAsia"/>
        </w:rPr>
        <w:t>convey cultural connotation exactly</w:t>
      </w:r>
      <w:r>
        <w:rPr>
          <w:rFonts w:ascii="Times New Roman" w:hAnsi="Times New Roman" w:cs="Times New Roman"/>
          <w:szCs w:val="21"/>
        </w:rPr>
        <w:t xml:space="preserve">, boost the cultural exchange, and </w:t>
      </w:r>
      <w:r w:rsidR="001028BE">
        <w:rPr>
          <w:rFonts w:ascii="Times New Roman" w:hAnsi="Times New Roman" w:cs="Times New Roman" w:hint="eastAsia"/>
          <w:szCs w:val="21"/>
        </w:rPr>
        <w:t>build up</w:t>
      </w:r>
      <w:r w:rsidR="001028BE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the fame of Foshan.</w:t>
      </w:r>
    </w:p>
    <w:p w:rsidR="00D7654A" w:rsidRDefault="00A70930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Key words</w:t>
      </w:r>
      <w:r>
        <w:rPr>
          <w:rFonts w:ascii="Times New Roman" w:hAnsi="Times New Roman" w:cs="Times New Roman"/>
          <w:szCs w:val="21"/>
        </w:rPr>
        <w:t>:  Foshan folk culture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Skopos Theory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translation strategies</w:t>
      </w:r>
    </w:p>
    <w:p w:rsidR="00D7654A" w:rsidRDefault="00D7654A">
      <w:pPr>
        <w:spacing w:line="400" w:lineRule="exact"/>
        <w:ind w:left="630" w:hangingChars="300" w:hanging="630"/>
        <w:rPr>
          <w:rFonts w:asciiTheme="minorEastAsia" w:hAnsiTheme="minorEastAsia" w:cs="Times New Roman"/>
          <w:szCs w:val="21"/>
        </w:rPr>
      </w:pPr>
    </w:p>
    <w:p w:rsidR="00D7654A" w:rsidRDefault="006C4DA6">
      <w:pPr>
        <w:spacing w:line="400" w:lineRule="exact"/>
        <w:ind w:left="1136" w:hangingChars="541" w:hanging="1136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责任编辑：赫俊国</w:t>
      </w:r>
    </w:p>
    <w:p w:rsidR="00D7654A" w:rsidRDefault="00D7654A">
      <w:pPr>
        <w:spacing w:line="400" w:lineRule="exact"/>
        <w:ind w:left="630" w:hangingChars="300" w:hanging="630"/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sectPr w:rsidR="00D7654A" w:rsidSect="00D7654A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59" w:rsidRDefault="00CF7C59" w:rsidP="00D7654A">
      <w:r>
        <w:separator/>
      </w:r>
    </w:p>
  </w:endnote>
  <w:endnote w:type="continuationSeparator" w:id="1">
    <w:p w:rsidR="00CF7C59" w:rsidRDefault="00CF7C59" w:rsidP="00D76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4A" w:rsidRDefault="00D7654A">
    <w:pPr>
      <w:pStyle w:val="FootnoteText"/>
    </w:pPr>
  </w:p>
  <w:p w:rsidR="00D7654A" w:rsidRDefault="00D765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4A" w:rsidRDefault="00A70930">
    <w:pPr>
      <w:pStyle w:val="FootnoteText"/>
      <w:rPr>
        <w:b/>
      </w:rPr>
    </w:pPr>
    <w:r>
      <w:rPr>
        <w:rFonts w:hint="eastAsia"/>
        <w:b/>
      </w:rPr>
      <w:t>____________________________________</w:t>
    </w:r>
  </w:p>
  <w:p w:rsidR="00D7654A" w:rsidRDefault="00D7654A">
    <w:pPr>
      <w:pStyle w:val="FootnoteText"/>
      <w:rPr>
        <w:b/>
      </w:rPr>
    </w:pPr>
  </w:p>
  <w:p w:rsidR="00D7654A" w:rsidRDefault="00A70930">
    <w:pPr>
      <w:pStyle w:val="FootnoteText"/>
      <w:rPr>
        <w:b/>
      </w:rPr>
    </w:pPr>
    <w:r>
      <w:rPr>
        <w:rFonts w:hint="eastAsia"/>
        <w:b/>
      </w:rPr>
      <w:t>收稿日期：</w:t>
    </w:r>
    <w:r>
      <w:rPr>
        <w:rFonts w:hint="eastAsia"/>
        <w:b/>
      </w:rPr>
      <w:t>2015</w:t>
    </w:r>
    <w:r>
      <w:rPr>
        <w:rFonts w:hint="eastAsia"/>
        <w:b/>
      </w:rPr>
      <w:t>年</w:t>
    </w:r>
    <w:r>
      <w:rPr>
        <w:rFonts w:hint="eastAsia"/>
        <w:b/>
      </w:rPr>
      <w:t>12</w:t>
    </w:r>
    <w:r>
      <w:rPr>
        <w:rFonts w:hint="eastAsia"/>
        <w:b/>
      </w:rPr>
      <w:t>月</w:t>
    </w:r>
    <w:r>
      <w:rPr>
        <w:rFonts w:hint="eastAsia"/>
        <w:b/>
      </w:rPr>
      <w:t>18</w:t>
    </w:r>
    <w:r>
      <w:rPr>
        <w:rFonts w:hint="eastAsia"/>
        <w:b/>
      </w:rPr>
      <w:t>日</w:t>
    </w:r>
  </w:p>
  <w:p w:rsidR="00D7654A" w:rsidRDefault="00A70930">
    <w:pPr>
      <w:pStyle w:val="FootnoteText"/>
      <w:rPr>
        <w:rFonts w:ascii="SimSun" w:hAnsi="SimSun"/>
        <w:b/>
      </w:rPr>
    </w:pPr>
    <w:r>
      <w:rPr>
        <w:rFonts w:ascii="SimSun" w:hAnsi="SimSun" w:hint="eastAsia"/>
        <w:b/>
      </w:rPr>
      <w:t>作者简介：周立（1981--  ），女（汉族），湖南双峰人，讲师，硕士，研究方向：翻译理论与实践，外语教学。</w:t>
    </w:r>
  </w:p>
  <w:p w:rsidR="00D7654A" w:rsidRDefault="00A70930">
    <w:pPr>
      <w:pStyle w:val="FootnoteText"/>
      <w:rPr>
        <w:rFonts w:ascii="SimSun" w:hAnsi="SimSun"/>
        <w:b/>
      </w:rPr>
    </w:pPr>
    <w:r>
      <w:rPr>
        <w:rFonts w:ascii="SimSun" w:hAnsi="SimSun" w:hint="eastAsia"/>
        <w:b/>
      </w:rPr>
      <w:t>本文系2015年度佛山市哲学社会科学规划项目《目的论视角下的佛山民俗文化外宣翻译研究》（2015BZ45）的阶段性成果。</w:t>
    </w:r>
  </w:p>
  <w:p w:rsidR="00D7654A" w:rsidRDefault="00D76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59" w:rsidRDefault="00CF7C59" w:rsidP="00D7654A">
      <w:r>
        <w:separator/>
      </w:r>
    </w:p>
  </w:footnote>
  <w:footnote w:type="continuationSeparator" w:id="1">
    <w:p w:rsidR="00CF7C59" w:rsidRDefault="00CF7C59" w:rsidP="00D76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4A" w:rsidRDefault="00D7654A">
    <w:pPr>
      <w:pStyle w:val="Header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B2E"/>
    <w:rsid w:val="00006938"/>
    <w:rsid w:val="0006259A"/>
    <w:rsid w:val="000710A8"/>
    <w:rsid w:val="00072D1B"/>
    <w:rsid w:val="000B0EBF"/>
    <w:rsid w:val="000C120C"/>
    <w:rsid w:val="000C2F7A"/>
    <w:rsid w:val="000D2068"/>
    <w:rsid w:val="000D32F6"/>
    <w:rsid w:val="001028BE"/>
    <w:rsid w:val="00104011"/>
    <w:rsid w:val="00123776"/>
    <w:rsid w:val="001262C5"/>
    <w:rsid w:val="00151C1D"/>
    <w:rsid w:val="00175B2E"/>
    <w:rsid w:val="001A555B"/>
    <w:rsid w:val="001D1577"/>
    <w:rsid w:val="001E2257"/>
    <w:rsid w:val="001F0BB4"/>
    <w:rsid w:val="00230299"/>
    <w:rsid w:val="002637DE"/>
    <w:rsid w:val="00277A61"/>
    <w:rsid w:val="002B6765"/>
    <w:rsid w:val="002D065B"/>
    <w:rsid w:val="00332956"/>
    <w:rsid w:val="00344F5D"/>
    <w:rsid w:val="00370D04"/>
    <w:rsid w:val="003D612B"/>
    <w:rsid w:val="003E0069"/>
    <w:rsid w:val="00407BBF"/>
    <w:rsid w:val="00421B51"/>
    <w:rsid w:val="00464BB2"/>
    <w:rsid w:val="0047536B"/>
    <w:rsid w:val="004B0E1D"/>
    <w:rsid w:val="004E7C1F"/>
    <w:rsid w:val="004E7DD6"/>
    <w:rsid w:val="00512561"/>
    <w:rsid w:val="00565920"/>
    <w:rsid w:val="00571090"/>
    <w:rsid w:val="00575AAA"/>
    <w:rsid w:val="005770D9"/>
    <w:rsid w:val="005A084B"/>
    <w:rsid w:val="005A423B"/>
    <w:rsid w:val="005A73CF"/>
    <w:rsid w:val="005C7B7F"/>
    <w:rsid w:val="005F7967"/>
    <w:rsid w:val="006012DA"/>
    <w:rsid w:val="006136FC"/>
    <w:rsid w:val="00626ED4"/>
    <w:rsid w:val="006378C6"/>
    <w:rsid w:val="006435E0"/>
    <w:rsid w:val="00674A19"/>
    <w:rsid w:val="006A3245"/>
    <w:rsid w:val="006C4DA6"/>
    <w:rsid w:val="006C6A36"/>
    <w:rsid w:val="006D7AD0"/>
    <w:rsid w:val="006F4D54"/>
    <w:rsid w:val="007501D5"/>
    <w:rsid w:val="00756654"/>
    <w:rsid w:val="00761CCD"/>
    <w:rsid w:val="007635F6"/>
    <w:rsid w:val="007C0C26"/>
    <w:rsid w:val="007E3F3D"/>
    <w:rsid w:val="007E486D"/>
    <w:rsid w:val="007F75D8"/>
    <w:rsid w:val="00804A8E"/>
    <w:rsid w:val="00813786"/>
    <w:rsid w:val="0084101D"/>
    <w:rsid w:val="0088136F"/>
    <w:rsid w:val="008C10C7"/>
    <w:rsid w:val="008E1FB2"/>
    <w:rsid w:val="00902539"/>
    <w:rsid w:val="0091468D"/>
    <w:rsid w:val="00931B1E"/>
    <w:rsid w:val="00940E50"/>
    <w:rsid w:val="0094501B"/>
    <w:rsid w:val="009929BC"/>
    <w:rsid w:val="00992FBE"/>
    <w:rsid w:val="009B42C4"/>
    <w:rsid w:val="009C2B87"/>
    <w:rsid w:val="009D456F"/>
    <w:rsid w:val="00A04090"/>
    <w:rsid w:val="00A70930"/>
    <w:rsid w:val="00A7200D"/>
    <w:rsid w:val="00A8170F"/>
    <w:rsid w:val="00AC7253"/>
    <w:rsid w:val="00AE19EA"/>
    <w:rsid w:val="00AE2454"/>
    <w:rsid w:val="00AF3CFA"/>
    <w:rsid w:val="00B33170"/>
    <w:rsid w:val="00B37CEE"/>
    <w:rsid w:val="00B56689"/>
    <w:rsid w:val="00B94989"/>
    <w:rsid w:val="00BA726C"/>
    <w:rsid w:val="00BE5DC7"/>
    <w:rsid w:val="00C13DD9"/>
    <w:rsid w:val="00C2036E"/>
    <w:rsid w:val="00C315DE"/>
    <w:rsid w:val="00C5086D"/>
    <w:rsid w:val="00C65A40"/>
    <w:rsid w:val="00CE1618"/>
    <w:rsid w:val="00CE5FD7"/>
    <w:rsid w:val="00CF7C59"/>
    <w:rsid w:val="00D03589"/>
    <w:rsid w:val="00D42828"/>
    <w:rsid w:val="00D42A55"/>
    <w:rsid w:val="00D7654A"/>
    <w:rsid w:val="00D8438B"/>
    <w:rsid w:val="00DA68B1"/>
    <w:rsid w:val="00DC1AD5"/>
    <w:rsid w:val="00DD05F1"/>
    <w:rsid w:val="00DD378B"/>
    <w:rsid w:val="00DD72C1"/>
    <w:rsid w:val="00DE2F32"/>
    <w:rsid w:val="00E10D59"/>
    <w:rsid w:val="00E327AE"/>
    <w:rsid w:val="00E660AD"/>
    <w:rsid w:val="00EC745E"/>
    <w:rsid w:val="00ED3C28"/>
    <w:rsid w:val="00EF4055"/>
    <w:rsid w:val="00EF59CB"/>
    <w:rsid w:val="00EF5D9F"/>
    <w:rsid w:val="00F11514"/>
    <w:rsid w:val="00F71A11"/>
    <w:rsid w:val="00FC551B"/>
    <w:rsid w:val="4AC5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4A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rsid w:val="00D7654A"/>
    <w:pPr>
      <w:jc w:val="left"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D7654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76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6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7654A"/>
    <w:pPr>
      <w:snapToGrid w:val="0"/>
      <w:jc w:val="left"/>
    </w:pPr>
    <w:rPr>
      <w:sz w:val="18"/>
      <w:szCs w:val="18"/>
    </w:rPr>
  </w:style>
  <w:style w:type="character" w:styleId="Hyperlink">
    <w:name w:val="Hyperlink"/>
    <w:basedOn w:val="DefaultParagraphFont"/>
    <w:qFormat/>
    <w:rsid w:val="00D7654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unhideWhenUsed/>
    <w:qFormat/>
    <w:rsid w:val="00D7654A"/>
    <w:rPr>
      <w:vertAlign w:val="superscript"/>
    </w:rPr>
  </w:style>
  <w:style w:type="paragraph" w:customStyle="1" w:styleId="1">
    <w:name w:val="列出段落1"/>
    <w:basedOn w:val="Normal"/>
    <w:uiPriority w:val="34"/>
    <w:qFormat/>
    <w:rsid w:val="00D7654A"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sid w:val="00D7654A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7654A"/>
    <w:rPr>
      <w:sz w:val="18"/>
      <w:szCs w:val="18"/>
    </w:rPr>
  </w:style>
  <w:style w:type="paragraph" w:customStyle="1" w:styleId="10">
    <w:name w:val="无间隔1"/>
    <w:link w:val="NoSpacingChar"/>
    <w:uiPriority w:val="1"/>
    <w:qFormat/>
    <w:rsid w:val="00D7654A"/>
    <w:rPr>
      <w:sz w:val="22"/>
      <w:szCs w:val="22"/>
    </w:rPr>
  </w:style>
  <w:style w:type="character" w:customStyle="1" w:styleId="NoSpacingChar">
    <w:name w:val="No Spacing Char"/>
    <w:basedOn w:val="DefaultParagraphFont"/>
    <w:link w:val="10"/>
    <w:uiPriority w:val="1"/>
    <w:qFormat/>
    <w:rsid w:val="00D7654A"/>
    <w:rPr>
      <w:kern w:val="0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765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654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654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0C515E-BA80-4533-9258-B16F68332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780</Words>
  <Characters>4451</Characters>
  <Application>Microsoft Office Word</Application>
  <DocSecurity>0</DocSecurity>
  <Lines>37</Lines>
  <Paragraphs>10</Paragraphs>
  <ScaleCrop>false</ScaleCrop>
  <Company>微软中国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2015-06-23T10:59:00Z</dcterms:created>
  <dc:creator>微软用户</dc:creator>
  <lastModifiedBy>JDLconsulting1</lastModifiedBy>
  <dcterms:modified xsi:type="dcterms:W3CDTF">2016-05-02T15:23:00Z</dcterms:modified>
  <revision>54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