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8"/>
          <w:rFonts w:eastAsia="黑体"/>
          <w:b w:val="0"/>
          <w:sz w:val="32"/>
          <w:szCs w:val="32"/>
        </w:rPr>
      </w:pPr>
      <w:r>
        <w:rPr>
          <w:rStyle w:val="18"/>
          <w:rFonts w:hint="eastAsia" w:eastAsia="黑体"/>
          <w:b w:val="0"/>
          <w:sz w:val="32"/>
          <w:szCs w:val="32"/>
        </w:rPr>
        <w:t>七年贯通培养基础教育阶段学生核心素养特点及德育工作研究——以北京城市学院教育类贯通项目为例</w:t>
      </w:r>
      <w:r>
        <w:rPr>
          <w:rStyle w:val="12"/>
          <w:rFonts w:eastAsia="黑体"/>
          <w:sz w:val="32"/>
          <w:szCs w:val="32"/>
        </w:rPr>
        <w:footnoteReference w:id="0"/>
      </w:r>
    </w:p>
    <w:p>
      <w:pPr>
        <w:spacing w:line="360" w:lineRule="auto"/>
        <w:jc w:val="center"/>
        <w:rPr>
          <w:rStyle w:val="18"/>
          <w:rFonts w:eastAsiaTheme="minorEastAsia"/>
          <w:b w:val="0"/>
          <w:szCs w:val="21"/>
        </w:rPr>
      </w:pPr>
      <w:r>
        <w:rPr>
          <w:rStyle w:val="18"/>
          <w:rFonts w:hint="eastAsia" w:eastAsiaTheme="minorEastAsia"/>
          <w:b w:val="0"/>
          <w:szCs w:val="21"/>
        </w:rPr>
        <w:t>赵坤，张亚蕾</w:t>
      </w:r>
    </w:p>
    <w:p>
      <w:pPr>
        <w:spacing w:line="360" w:lineRule="auto"/>
        <w:jc w:val="center"/>
        <w:rPr>
          <w:rStyle w:val="18"/>
          <w:rFonts w:eastAsiaTheme="minorEastAsia"/>
          <w:b w:val="0"/>
          <w:szCs w:val="21"/>
        </w:rPr>
      </w:pPr>
      <w:r>
        <w:rPr>
          <w:rStyle w:val="18"/>
          <w:rFonts w:hint="eastAsia" w:eastAsiaTheme="minorEastAsia"/>
          <w:b w:val="0"/>
          <w:szCs w:val="21"/>
        </w:rPr>
        <w:t>（北京城市学院教育学部，北京</w:t>
      </w:r>
      <w:r>
        <w:rPr>
          <w:rStyle w:val="18"/>
          <w:rFonts w:hint="eastAsia" w:eastAsiaTheme="minorEastAsia"/>
          <w:b w:val="0"/>
          <w:szCs w:val="21"/>
          <w:lang w:val="en-US" w:eastAsia="zh-CN"/>
        </w:rPr>
        <w:t xml:space="preserve"> </w:t>
      </w:r>
      <w:r>
        <w:rPr>
          <w:rStyle w:val="18"/>
          <w:rFonts w:eastAsiaTheme="minorEastAsia"/>
          <w:b w:val="0"/>
          <w:szCs w:val="21"/>
        </w:rPr>
        <w:t>101300</w:t>
      </w:r>
      <w:r>
        <w:rPr>
          <w:rStyle w:val="18"/>
          <w:rFonts w:hint="eastAsia" w:eastAsiaTheme="minorEastAsia"/>
          <w:b w:val="0"/>
          <w:szCs w:val="21"/>
        </w:rPr>
        <w:t>）</w:t>
      </w:r>
    </w:p>
    <w:p>
      <w:pPr>
        <w:spacing w:line="360" w:lineRule="auto"/>
        <w:ind w:firstLine="422" w:firstLineChars="200"/>
        <w:rPr>
          <w:bCs/>
          <w:szCs w:val="21"/>
        </w:rPr>
      </w:pPr>
      <w:r>
        <w:rPr>
          <w:rFonts w:hint="eastAsia"/>
          <w:b/>
          <w:szCs w:val="21"/>
        </w:rPr>
        <w:t>摘要：</w:t>
      </w:r>
      <w:r>
        <w:rPr>
          <w:rFonts w:hint="eastAsia"/>
          <w:bCs/>
          <w:szCs w:val="21"/>
        </w:rPr>
        <w:t>为了</w:t>
      </w:r>
      <w:r>
        <w:rPr>
          <w:rFonts w:hint="eastAsia"/>
          <w:szCs w:val="21"/>
        </w:rPr>
        <w:t>培养七年贯通制学生的思想道德素质和职业道德规范，落实立德树人的根本任务，实现</w:t>
      </w:r>
      <w:r>
        <w:rPr>
          <w:rFonts w:hint="eastAsia"/>
          <w:bCs/>
          <w:szCs w:val="21"/>
        </w:rPr>
        <w:t>北京地区贯通培养的项目要求，</w:t>
      </w:r>
      <w:r>
        <w:rPr>
          <w:rFonts w:hint="eastAsia"/>
          <w:szCs w:val="21"/>
        </w:rPr>
        <w:t>北京城市学院教育学部根据七年贯通制教育类专业学生特定的培养目标，全面开展针对七年贯通培养项目中的学前教育和小学教育专业学生的调研，分析学生的总体情况，结合学部已经开展的理想信念教育、社会主义核心价值观教育、中国传统优秀文化教育、心理健康教育、生态文明教育等五大德育工作内容，剖析学生在德育培养过程中呈现出的核心素质特点，并提出德育工作有效途径的初步意见，为制定完善贯通培养一体化德育工作体系提供科学依据。</w:t>
      </w:r>
    </w:p>
    <w:p>
      <w:pPr>
        <w:spacing w:line="360" w:lineRule="auto"/>
        <w:ind w:firstLine="420" w:firstLineChars="200"/>
        <w:rPr>
          <w:szCs w:val="21"/>
        </w:rPr>
      </w:pPr>
      <w:r>
        <w:rPr>
          <w:rFonts w:hint="eastAsia"/>
          <w:szCs w:val="21"/>
        </w:rPr>
        <w:t>关键词：七年贯通培养；基础教育阶段；德育工作；核心素养</w:t>
      </w:r>
    </w:p>
    <w:p>
      <w:pPr>
        <w:spacing w:line="440" w:lineRule="atLeast"/>
        <w:ind w:right="315" w:firstLine="413" w:firstLineChars="196"/>
        <w:rPr>
          <w:rFonts w:cs="Arial"/>
          <w:color w:val="000000"/>
          <w:szCs w:val="21"/>
        </w:rPr>
      </w:pPr>
      <w:r>
        <w:rPr>
          <w:rFonts w:hint="eastAsia" w:cs="Arial"/>
          <w:b/>
          <w:bCs/>
          <w:color w:val="000000"/>
          <w:szCs w:val="21"/>
        </w:rPr>
        <w:t>中图分类号：</w:t>
      </w:r>
      <w:r>
        <w:rPr>
          <w:rFonts w:hint="eastAsia" w:cs="Arial"/>
          <w:color w:val="000000"/>
          <w:szCs w:val="21"/>
        </w:rPr>
        <w:t xml:space="preserve"> G410   </w:t>
      </w:r>
      <w:r>
        <w:rPr>
          <w:rFonts w:cs="Arial"/>
          <w:color w:val="000000"/>
          <w:szCs w:val="21"/>
        </w:rPr>
        <w:t xml:space="preserve">  </w:t>
      </w:r>
      <w:r>
        <w:rPr>
          <w:rFonts w:hint="eastAsia" w:cs="Arial"/>
          <w:b/>
          <w:bCs/>
          <w:color w:val="000000"/>
          <w:szCs w:val="21"/>
        </w:rPr>
        <w:t>文献标识码：</w:t>
      </w:r>
      <w:r>
        <w:rPr>
          <w:rFonts w:cs="Arial"/>
          <w:b/>
          <w:bCs/>
          <w:color w:val="000000"/>
          <w:szCs w:val="21"/>
        </w:rPr>
        <w:t xml:space="preserve">  </w:t>
      </w:r>
      <w:r>
        <w:rPr>
          <w:rFonts w:hint="eastAsia" w:cs="Arial"/>
          <w:b/>
          <w:bCs/>
          <w:color w:val="000000"/>
          <w:szCs w:val="21"/>
        </w:rPr>
        <w:t>A</w:t>
      </w:r>
      <w:r>
        <w:rPr>
          <w:rFonts w:cs="Arial"/>
          <w:color w:val="000000"/>
          <w:szCs w:val="21"/>
        </w:rPr>
        <w:t xml:space="preserve">        </w:t>
      </w:r>
      <w:r>
        <w:rPr>
          <w:rFonts w:hint="eastAsia" w:cs="Arial"/>
          <w:b/>
          <w:bCs/>
          <w:color w:val="000000"/>
          <w:szCs w:val="21"/>
        </w:rPr>
        <w:t>文章编号：</w:t>
      </w:r>
      <w:r>
        <w:rPr>
          <w:rFonts w:cs="Arial"/>
          <w:color w:val="000000"/>
          <w:szCs w:val="21"/>
        </w:rPr>
        <w:t xml:space="preserve"> </w:t>
      </w:r>
    </w:p>
    <w:p>
      <w:pPr>
        <w:spacing w:line="360" w:lineRule="auto"/>
        <w:ind w:firstLine="420" w:firstLineChars="200"/>
        <w:rPr>
          <w:szCs w:val="21"/>
        </w:rPr>
      </w:pPr>
    </w:p>
    <w:p>
      <w:pPr>
        <w:spacing w:line="360" w:lineRule="auto"/>
        <w:ind w:firstLine="482" w:firstLineChars="200"/>
        <w:rPr>
          <w:b/>
          <w:sz w:val="24"/>
          <w:szCs w:val="24"/>
        </w:rPr>
      </w:pPr>
      <w:r>
        <w:rPr>
          <w:rFonts w:hint="eastAsia"/>
          <w:b/>
          <w:sz w:val="24"/>
          <w:szCs w:val="24"/>
        </w:rPr>
        <w:t>一、问题的提出</w:t>
      </w:r>
    </w:p>
    <w:p>
      <w:pPr>
        <w:spacing w:line="360" w:lineRule="auto"/>
        <w:ind w:firstLine="420" w:firstLineChars="200"/>
        <w:rPr>
          <w:szCs w:val="21"/>
        </w:rPr>
      </w:pPr>
      <w:r>
        <w:rPr>
          <w:rFonts w:hint="eastAsia"/>
          <w:szCs w:val="21"/>
        </w:rPr>
        <w:t>为了全面贯彻党的十九大精神和习近平总书记系列重要讲话精神，加强思想道德建设，落实立德树人、全面发展，深化职业教育教学改革，探索实施素质教育的新途径，整合融通各级各类优质教育资源，探索优质高效育人的教育发展新模式，北京城市学院积极开展教育类专业七年贯通制学生的培养，努力探索新模式、新体制，以为北京输送高端优质的教育人才。在培养学生过程中，德育方面的培养更是一直作为重中之重。学校是进行系统道德教育的重要阵地，要科学规划不同年龄学生及各学习阶段道德教育的具体内容，坚持贯彻学生日常行为规范，把道德教育渗透到学校教育的各个环节，要组织学生参加适当的生产劳动和社会实践活动，帮助他们认识社会，了解国情，增强社会责任感。作为培养教育人才的北京城市学院教育学部，一直把德育当作培养的重要内容和中心环节，紧紧围绕教育部关于印发《中小学德育工作指南》和《中国学生发展核心素养》等重要指导文件，研究学生的特殊性，明确德育工作的主要内容及途径。2016年，学部开始七年贯通学生的培养，这也给德育工作带来了新的机遇和挑战，探索适合七年贯通制度下的学生培养模式具有重要意义。</w:t>
      </w:r>
    </w:p>
    <w:p>
      <w:pPr>
        <w:pStyle w:val="15"/>
        <w:numPr>
          <w:ilvl w:val="0"/>
          <w:numId w:val="1"/>
        </w:numPr>
        <w:spacing w:line="360" w:lineRule="auto"/>
        <w:ind w:firstLineChars="0"/>
        <w:rPr>
          <w:b/>
          <w:sz w:val="24"/>
          <w:szCs w:val="24"/>
        </w:rPr>
      </w:pPr>
      <w:r>
        <w:rPr>
          <w:rFonts w:hint="eastAsia"/>
          <w:b/>
          <w:sz w:val="24"/>
          <w:szCs w:val="24"/>
        </w:rPr>
        <w:t>培养目标的明确</w:t>
      </w:r>
    </w:p>
    <w:p>
      <w:pPr>
        <w:spacing w:line="360" w:lineRule="auto"/>
        <w:ind w:firstLine="420" w:firstLineChars="200"/>
        <w:rPr>
          <w:szCs w:val="21"/>
        </w:rPr>
      </w:pPr>
      <w:r>
        <w:rPr>
          <w:rFonts w:hint="eastAsia"/>
          <w:szCs w:val="21"/>
        </w:rPr>
        <w:t>七年贯通培养是北京市“十三五”教育规划的重要举措，是</w:t>
      </w:r>
      <w:r>
        <w:rPr>
          <w:szCs w:val="21"/>
        </w:rPr>
        <w:t>构建现代职业教育体系大形势下出现的新生事物</w:t>
      </w:r>
      <w:r>
        <w:rPr>
          <w:rFonts w:hint="eastAsia"/>
          <w:szCs w:val="21"/>
        </w:rPr>
        <w:t>，具体模式是</w:t>
      </w:r>
      <w:r>
        <w:rPr>
          <w:szCs w:val="21"/>
        </w:rPr>
        <w:t>要在七年时间对学生完成</w:t>
      </w:r>
      <w:r>
        <w:rPr>
          <w:rFonts w:hint="eastAsia"/>
          <w:szCs w:val="21"/>
        </w:rPr>
        <w:t>高中三年（基础教育阶段）、专科两年和本科两年的贯通式</w:t>
      </w:r>
      <w:r>
        <w:rPr>
          <w:szCs w:val="21"/>
        </w:rPr>
        <w:t>教育</w:t>
      </w:r>
      <w:r>
        <w:rPr>
          <w:rFonts w:hint="eastAsia"/>
          <w:szCs w:val="21"/>
        </w:rPr>
        <w:t>培养</w:t>
      </w:r>
      <w:r>
        <w:rPr>
          <w:szCs w:val="21"/>
        </w:rPr>
        <w:t>。</w:t>
      </w:r>
      <w:r>
        <w:rPr>
          <w:rFonts w:hint="eastAsia"/>
          <w:szCs w:val="21"/>
        </w:rPr>
        <w:t>七年贯通培养基础教育阶段，正是学生习惯养成、人生观、价值观、世界观形成的关键期，是树立职业定位、培养职业认同感的重要时期，尤其作为教育类专业，未来承担教书育人的重要责任，在德育方面的要求更为严格。因此，在此关键时期，更需要明确培养目标，保证为社会输送优秀的教育人才。</w:t>
      </w:r>
    </w:p>
    <w:p>
      <w:pPr>
        <w:spacing w:line="360" w:lineRule="auto"/>
        <w:ind w:firstLine="420" w:firstLineChars="200"/>
        <w:rPr>
          <w:szCs w:val="21"/>
        </w:rPr>
      </w:pPr>
      <w:r>
        <w:rPr>
          <w:rFonts w:hint="eastAsia"/>
          <w:szCs w:val="21"/>
        </w:rPr>
        <w:t>学校根据教育部颁布的《中小学教师职业道德规范》、《幼儿园教师职业道德规范》、《小学教师专业标准（试行）》和《幼儿园教师专业标准（试行）》，科学制定了七年贯通小学教育专业和学前教育专业的培养目标。其中，学前教育专业的培养目标为</w:t>
      </w:r>
      <w:r>
        <w:rPr>
          <w:szCs w:val="21"/>
        </w:rPr>
        <w:t>面向未来北京全面建成小康社会后对高水平师资的需要，培养具有良好</w:t>
      </w:r>
      <w:r>
        <w:rPr>
          <w:rFonts w:hint="eastAsia"/>
          <w:szCs w:val="21"/>
        </w:rPr>
        <w:t>思想道德品质、尊重幼儿、团结协作、豁达大度、扎实的学前教育专业知识、严谨治学、求善求真，具备在幼儿园等学前教育机构从事学前教育工作能力，符合国际水准的专门师资人才。小学教育专业的培养目标为本专业面向未来北京全面建成小康社会后对高水平师资的需要，培养具有良好的职业道德和思想品质、爱岗敬业、关爱学生，具备扎实的学科知识和较强的教育教学能力，为人师表、教书育人，能在小学从事教学和教育管理工作、符合国际水准的专门师资人才。</w:t>
      </w:r>
    </w:p>
    <w:p>
      <w:pPr>
        <w:pStyle w:val="15"/>
        <w:numPr>
          <w:ilvl w:val="0"/>
          <w:numId w:val="1"/>
        </w:numPr>
        <w:spacing w:line="360" w:lineRule="auto"/>
        <w:ind w:firstLineChars="0"/>
        <w:rPr>
          <w:b/>
          <w:sz w:val="24"/>
          <w:szCs w:val="24"/>
        </w:rPr>
      </w:pPr>
      <w:r>
        <w:rPr>
          <w:rFonts w:hint="eastAsia"/>
          <w:b/>
          <w:sz w:val="24"/>
          <w:szCs w:val="24"/>
        </w:rPr>
        <w:t>学生情况的调研</w:t>
      </w:r>
    </w:p>
    <w:p>
      <w:pPr>
        <w:spacing w:line="360" w:lineRule="auto"/>
        <w:ind w:firstLine="420" w:firstLineChars="200"/>
        <w:rPr>
          <w:szCs w:val="21"/>
        </w:rPr>
      </w:pPr>
      <w:r>
        <w:rPr>
          <w:rFonts w:hint="eastAsia"/>
          <w:szCs w:val="21"/>
        </w:rPr>
        <w:t>目前，北京城市学院已有两届七年贯通培养的学生，分为别2016级和2017级学前教育和小学教育专业学生，共807人，其中2016级542名，2017级265名。为全面、客观、有效地获取学生情况，本调研主要以</w:t>
      </w:r>
      <w:r>
        <w:rPr>
          <w:szCs w:val="21"/>
        </w:rPr>
        <w:t>2017</w:t>
      </w:r>
      <w:r>
        <w:rPr>
          <w:rFonts w:hint="eastAsia"/>
          <w:szCs w:val="21"/>
        </w:rPr>
        <w:t>级学生为研究对象，采取问卷调查法、访谈法等多种调研方法，具体包括发放调查问卷、班主任座谈、学生管理工作教师座谈、任课教师访谈法、学生家长座谈等形式，以此对学生核心素养进行全面、客观、科学的分析与研究。</w:t>
      </w:r>
    </w:p>
    <w:p>
      <w:pPr>
        <w:spacing w:line="360" w:lineRule="auto"/>
        <w:ind w:firstLine="420" w:firstLineChars="200"/>
        <w:rPr>
          <w:szCs w:val="21"/>
        </w:rPr>
      </w:pPr>
      <w:r>
        <w:rPr>
          <w:rFonts w:hint="eastAsia"/>
          <w:szCs w:val="21"/>
        </w:rPr>
        <w:t>2017级（一年级）七年贯通培养基础教育阶段学生中，小学教育专业共129人，其中男生43人，女生86人；学前教育专业共136人，其中男生14人，女生122人。从性别比例看，贯通一年级女生占总人数的比例高达78.5%，女生占了绝大多数，男生比例较小，尤其是学前教育专业，男生只占总人数的1.7%。另外，参与调查的2017级学生年龄基本处于15岁—16岁青少年，都属于未成年人。学生中考成绩大部分处在430分至480分之间。</w:t>
      </w:r>
    </w:p>
    <w:p>
      <w:pPr>
        <w:pStyle w:val="15"/>
        <w:numPr>
          <w:ilvl w:val="0"/>
          <w:numId w:val="1"/>
        </w:numPr>
        <w:spacing w:line="360" w:lineRule="auto"/>
        <w:ind w:firstLineChars="0"/>
        <w:rPr>
          <w:b/>
          <w:sz w:val="24"/>
          <w:szCs w:val="24"/>
        </w:rPr>
      </w:pPr>
      <w:r>
        <w:rPr>
          <w:rFonts w:hint="eastAsia"/>
          <w:b/>
          <w:sz w:val="24"/>
          <w:szCs w:val="24"/>
        </w:rPr>
        <w:t>学生核心素养特点的分析</w:t>
      </w:r>
    </w:p>
    <w:p>
      <w:pPr>
        <w:spacing w:line="360" w:lineRule="auto"/>
        <w:ind w:firstLine="420" w:firstLineChars="200"/>
        <w:rPr>
          <w:b/>
          <w:sz w:val="24"/>
          <w:szCs w:val="24"/>
        </w:rPr>
      </w:pPr>
      <w:r>
        <w:rPr>
          <w:rFonts w:hint="eastAsia"/>
          <w:szCs w:val="21"/>
        </w:rPr>
        <w:t>通过分析</w:t>
      </w:r>
      <w:r>
        <w:rPr>
          <w:szCs w:val="21"/>
        </w:rPr>
        <w:t>2017</w:t>
      </w:r>
      <w:r>
        <w:rPr>
          <w:rFonts w:hint="eastAsia"/>
          <w:szCs w:val="21"/>
        </w:rPr>
        <w:t>级学生在年龄、性别、生源质量、身心特征、行为规范、兴趣爱好、职业定位等方面情况，结合学校目前已经开展的理想信念教育、社会主义核心价值观教育、中国传统优秀文化教育、心理健康教育、生态文明教育等五大德育工作中的学生表现，总结一年级学生在德育培养过程中呈现出的核心素养现状。</w:t>
      </w:r>
    </w:p>
    <w:p>
      <w:pPr>
        <w:pStyle w:val="15"/>
        <w:numPr>
          <w:ilvl w:val="0"/>
          <w:numId w:val="2"/>
        </w:numPr>
        <w:spacing w:line="360" w:lineRule="auto"/>
        <w:ind w:firstLineChars="0"/>
        <w:rPr>
          <w:b/>
          <w:szCs w:val="21"/>
        </w:rPr>
      </w:pPr>
      <w:r>
        <w:rPr>
          <w:rFonts w:hint="eastAsia"/>
          <w:b/>
          <w:szCs w:val="21"/>
        </w:rPr>
        <w:t>学生责任担当意识较强</w:t>
      </w:r>
    </w:p>
    <w:p>
      <w:pPr>
        <w:spacing w:line="360" w:lineRule="auto"/>
        <w:ind w:firstLine="420" w:firstLineChars="200"/>
        <w:rPr>
          <w:szCs w:val="21"/>
        </w:rPr>
      </w:pPr>
      <w:r>
        <w:rPr>
          <w:szCs w:val="21"/>
        </w:rPr>
        <w:t>1</w:t>
      </w:r>
      <w:r>
        <w:rPr>
          <w:rFonts w:hint="eastAsia"/>
          <w:szCs w:val="21"/>
        </w:rPr>
        <w:t>、初步接受理想信念教育，国家认同感普遍较高。</w:t>
      </w:r>
      <w:r>
        <w:rPr>
          <w:rFonts w:hint="eastAsia"/>
          <w:b/>
          <w:szCs w:val="21"/>
        </w:rPr>
        <w:t xml:space="preserve"> </w:t>
      </w:r>
      <w:r>
        <w:rPr>
          <w:rFonts w:hint="eastAsia"/>
          <w:szCs w:val="21"/>
        </w:rPr>
        <w:t>2017级学生经过政治、历史等课堂以及开展升旗仪式、观看“辉煌中国”、学习十九大系列活动、参观“砥砺奋进的五年”展等仪式教育和学生活动，学生们的参与积极性及相关教师反馈意见可以看出，学生们在一年级阶段初步接触并接受理想信念教育，国家认同感较高，对党的政治认同、情感认同、价值认同建立了初步认知。</w:t>
      </w:r>
    </w:p>
    <w:p>
      <w:pPr>
        <w:spacing w:line="360" w:lineRule="auto"/>
        <w:ind w:firstLine="420" w:firstLineChars="200"/>
        <w:rPr>
          <w:b/>
          <w:szCs w:val="21"/>
        </w:rPr>
      </w:pPr>
      <w:r>
        <w:rPr>
          <w:rFonts w:hint="eastAsia"/>
          <w:szCs w:val="21"/>
        </w:rPr>
        <w:t>2、积极参与社会主义核心价值观教育活动，集体参与感和荣誉感较强。 2017级学生在举办的学科知识竞赛、教育教学成果展、军训、早操、运动会、班级卫生评比等集体活动中参与积极性较高，班级集体荣誉感较强，同时表现出强烈的爱国主义和集体主义，能够自觉遵守规章制度，初步理解自由、平等、公正、法治作为社会层面的价值取向，自觉遵守爱国、敬业、诚信、友善作为公民层面的价值准则。</w:t>
      </w:r>
    </w:p>
    <w:p>
      <w:pPr>
        <w:spacing w:line="360" w:lineRule="auto"/>
        <w:ind w:firstLine="420" w:firstLineChars="200"/>
        <w:rPr>
          <w:b/>
          <w:szCs w:val="21"/>
        </w:rPr>
      </w:pPr>
      <w:r>
        <w:rPr>
          <w:szCs w:val="21"/>
        </w:rPr>
        <w:t>3</w:t>
      </w:r>
      <w:r>
        <w:rPr>
          <w:rFonts w:hint="eastAsia"/>
          <w:szCs w:val="21"/>
        </w:rPr>
        <w:t>、身体力行传承中华优秀文化，但需深入引导。 2017级学生在政治、历史、语文、音乐、美术等相关课程，汉字书写训练项目、泮水合唱团、舞蹈团、文学社、书法社团、棋牌社团等开展的活动中，都表现出对于传承发展中华优秀传统文化、中华传统美德、中华人文精神的责任感，开始意识到人格修养的重要性，意识到要了解中华优秀传统文化，并能身体力行，逐步增强文化自觉和文化自信。虽然学生的文化自觉性在增强，但由于自身的文化基础较为薄弱，</w:t>
      </w:r>
      <w:r>
        <w:rPr>
          <w:szCs w:val="21"/>
        </w:rPr>
        <w:t>在学习、理解、运用人文领域知识和技能等方面基本能力</w:t>
      </w:r>
      <w:r>
        <w:rPr>
          <w:rFonts w:hint="eastAsia"/>
          <w:szCs w:val="21"/>
        </w:rPr>
        <w:t>有待提高，在</w:t>
      </w:r>
      <w:r>
        <w:rPr>
          <w:szCs w:val="21"/>
        </w:rPr>
        <w:t>人文积淀、人文情怀和审美情趣等</w:t>
      </w:r>
      <w:r>
        <w:rPr>
          <w:rFonts w:hint="eastAsia"/>
          <w:szCs w:val="21"/>
        </w:rPr>
        <w:t>方面有待进一步培养，在崇尚</w:t>
      </w:r>
      <w:r>
        <w:rPr>
          <w:szCs w:val="21"/>
        </w:rPr>
        <w:t>涵养内在精神，追求真善美的统一，发展成为有宽厚文化基础、有更高精神追求的人</w:t>
      </w:r>
      <w:r>
        <w:rPr>
          <w:rFonts w:hint="eastAsia"/>
          <w:szCs w:val="21"/>
        </w:rPr>
        <w:t>等方面需深入引导</w:t>
      </w:r>
      <w:r>
        <w:rPr>
          <w:szCs w:val="21"/>
        </w:rPr>
        <w:t>。</w:t>
      </w:r>
    </w:p>
    <w:p>
      <w:pPr>
        <w:pStyle w:val="15"/>
        <w:numPr>
          <w:ilvl w:val="0"/>
          <w:numId w:val="2"/>
        </w:numPr>
        <w:spacing w:line="360" w:lineRule="auto"/>
        <w:ind w:firstLineChars="0"/>
        <w:rPr>
          <w:b/>
          <w:szCs w:val="21"/>
        </w:rPr>
      </w:pPr>
      <w:r>
        <w:rPr>
          <w:rFonts w:hint="eastAsia"/>
          <w:b/>
          <w:szCs w:val="21"/>
        </w:rPr>
        <w:t>学生实践创新意愿强烈</w:t>
      </w:r>
    </w:p>
    <w:p>
      <w:pPr>
        <w:spacing w:line="360" w:lineRule="auto"/>
        <w:ind w:firstLine="420" w:firstLineChars="200"/>
        <w:rPr>
          <w:b/>
          <w:szCs w:val="21"/>
        </w:rPr>
      </w:pPr>
      <w:r>
        <w:rPr>
          <w:szCs w:val="21"/>
        </w:rPr>
        <w:t>1</w:t>
      </w:r>
      <w:r>
        <w:rPr>
          <w:rFonts w:hint="eastAsia"/>
          <w:szCs w:val="21"/>
        </w:rPr>
        <w:t>、参与社会实践活动积极性高，初步建立创新精神及实践能力。 2017级学生要求参加社会实践活动意愿强烈，问卷调查中</w:t>
      </w:r>
      <w:r>
        <w:rPr>
          <w:szCs w:val="21"/>
        </w:rPr>
        <w:t>77.9%</w:t>
      </w:r>
      <w:r>
        <w:rPr>
          <w:rFonts w:hint="eastAsia"/>
          <w:szCs w:val="21"/>
        </w:rPr>
        <w:t>以上学生认为社会实践活动对德育素质培养作用最大。学生在校内开展的“小教师”等一系列社会实践活动中也表现出了较强的社会责任感及创新实践能力，可见一年级需要更关注基础认知性的实践活动。</w:t>
      </w:r>
    </w:p>
    <w:p>
      <w:pPr>
        <w:spacing w:line="360" w:lineRule="auto"/>
        <w:ind w:firstLine="420" w:firstLineChars="200"/>
        <w:rPr>
          <w:b/>
          <w:szCs w:val="21"/>
        </w:rPr>
      </w:pPr>
      <w:r>
        <w:rPr>
          <w:rFonts w:hint="eastAsia"/>
          <w:szCs w:val="21"/>
        </w:rPr>
        <w:t>2、参与大型教育系列活动热情度高，初步建立服务意识及关怀意识。 2017级学生要求参加大型教育系列活动意愿较强，在学校已开展的“学习十九大系列活动”等大型教育活动中，学生也能够全心全意的投入，积极参与，具备一定的主人翁意识。同时，学生提出希望更多参加公益性、文化性、劳动性活动，如利用养老院、儿童福利机构、残疾人康复机构等社区机构等开展关爱老人、孤儿、残疾人教育；利用展览馆、美术馆、音乐厅等开展文化艺术教育。</w:t>
      </w:r>
    </w:p>
    <w:p>
      <w:pPr>
        <w:spacing w:line="360" w:lineRule="auto"/>
        <w:ind w:firstLine="420" w:firstLineChars="200"/>
        <w:rPr>
          <w:b/>
          <w:szCs w:val="21"/>
        </w:rPr>
      </w:pPr>
      <w:r>
        <w:rPr>
          <w:rFonts w:hint="eastAsia"/>
          <w:szCs w:val="21"/>
        </w:rPr>
        <w:t>3、参与课外活动主动性强，开始形成良好的行为习惯和问题解决能力。 2017级学生要求参加课外活动意愿较强，并且在众多的活动形式中，辩论赛、知识竞赛、郊外野营、文艺联欢、主题班会、参观体验、特色文化节、艺术节、科技节等活动最受学生欢迎。学生不仅参与其中，还可以结合各大社团主办丰富多彩、精心设计、组织开展主题明确的教育活动。这些课外活动促进了学生形成良好的思想品德和行为习惯，培养了学生的兴趣爱好，充实了学生的校园生活，磨练了学生的意志品质，促进了学生的身心健康发展，培养了学生的团队合作能力，增强了学生的人际交往能力，锻炼了学生的解决问题能力。</w:t>
      </w:r>
    </w:p>
    <w:p>
      <w:pPr>
        <w:pStyle w:val="15"/>
        <w:numPr>
          <w:ilvl w:val="0"/>
          <w:numId w:val="2"/>
        </w:numPr>
        <w:spacing w:line="360" w:lineRule="auto"/>
        <w:ind w:firstLineChars="0"/>
        <w:rPr>
          <w:b/>
          <w:szCs w:val="21"/>
        </w:rPr>
      </w:pPr>
      <w:r>
        <w:rPr>
          <w:rFonts w:hint="eastAsia"/>
          <w:b/>
          <w:szCs w:val="21"/>
        </w:rPr>
        <w:t>学生健康生活能力提高迫在眉睫</w:t>
      </w:r>
    </w:p>
    <w:p>
      <w:pPr>
        <w:spacing w:line="360" w:lineRule="auto"/>
        <w:ind w:firstLine="420" w:firstLineChars="200"/>
        <w:rPr>
          <w:szCs w:val="21"/>
        </w:rPr>
      </w:pPr>
      <w:r>
        <w:rPr>
          <w:szCs w:val="21"/>
        </w:rPr>
        <w:t>1</w:t>
      </w:r>
      <w:r>
        <w:rPr>
          <w:rFonts w:hint="eastAsia"/>
          <w:szCs w:val="21"/>
        </w:rPr>
        <w:t>、重视心理健康教育，培育学生健全人格。 2017级学生在问卷调查中34%的同学认为心理健康教育为当前最需加强的德育内容；另外，受访教师、班主任及学生管理工作教师均表示学生处于未成年阶段，心智还不成熟，在人际交往、与人交流沟通等方面还需指导，人生观、价值观、世界观尚未形成，尤其是个别学生因为家庭离异、身体疾病等原因导致的心理问题，需要教师及时做好心理疏导及正确指导，以培养学生健全的人格，积极的心态和良好的心理品质，能够坚韧乐观地应对各类挫折。</w:t>
      </w:r>
    </w:p>
    <w:p>
      <w:pPr>
        <w:spacing w:line="360" w:lineRule="auto"/>
        <w:ind w:firstLine="420" w:firstLineChars="200"/>
        <w:rPr>
          <w:b/>
          <w:szCs w:val="21"/>
        </w:rPr>
      </w:pPr>
      <w:r>
        <w:rPr>
          <w:rFonts w:hint="eastAsia"/>
          <w:szCs w:val="21"/>
        </w:rPr>
        <w:t>2、提高自我管理以及自我调控能力，加强德育工作培育。</w:t>
      </w:r>
      <w:r>
        <w:rPr>
          <w:rFonts w:hint="eastAsia"/>
          <w:b/>
          <w:szCs w:val="21"/>
        </w:rPr>
        <w:t xml:space="preserve"> </w:t>
      </w:r>
      <w:r>
        <w:rPr>
          <w:rFonts w:hint="eastAsia"/>
          <w:szCs w:val="21"/>
        </w:rPr>
        <w:t>2017级学生在</w:t>
      </w:r>
      <w:r>
        <w:rPr>
          <w:szCs w:val="21"/>
        </w:rPr>
        <w:t>正确认识与评估自我</w:t>
      </w:r>
      <w:r>
        <w:rPr>
          <w:rFonts w:hint="eastAsia"/>
          <w:szCs w:val="21"/>
        </w:rPr>
        <w:t>，</w:t>
      </w:r>
      <w:r>
        <w:rPr>
          <w:szCs w:val="21"/>
        </w:rPr>
        <w:t>依据自身个性和潜质选择适合的发展方向</w:t>
      </w:r>
      <w:r>
        <w:rPr>
          <w:rFonts w:hint="eastAsia"/>
          <w:szCs w:val="21"/>
        </w:rPr>
        <w:t>，</w:t>
      </w:r>
      <w:r>
        <w:rPr>
          <w:szCs w:val="21"/>
        </w:rPr>
        <w:t>合理分配和使用时间与精力</w:t>
      </w:r>
      <w:r>
        <w:rPr>
          <w:rFonts w:hint="eastAsia"/>
          <w:szCs w:val="21"/>
        </w:rPr>
        <w:t>和</w:t>
      </w:r>
      <w:r>
        <w:rPr>
          <w:szCs w:val="21"/>
        </w:rPr>
        <w:t>具有达成目标的持续行动力等</w:t>
      </w:r>
      <w:r>
        <w:rPr>
          <w:rFonts w:hint="eastAsia"/>
          <w:szCs w:val="21"/>
        </w:rPr>
        <w:t>方面能力稍差，比如课堂学习过程精力集中时间较短，课后学习时间不能合理安排，做事耐力不足，目标性不强，需要开展德育工作来加强，即学生能够意识到自我管理的重要性和管理内容，但需要借助学校培育提高此方面的能力。</w:t>
      </w:r>
    </w:p>
    <w:p>
      <w:pPr>
        <w:pStyle w:val="9"/>
        <w:spacing w:before="0" w:beforeAutospacing="0" w:after="0" w:afterAutospacing="0" w:line="360" w:lineRule="auto"/>
        <w:ind w:firstLine="420" w:firstLineChars="200"/>
        <w:rPr>
          <w:b/>
          <w:sz w:val="21"/>
          <w:szCs w:val="21"/>
        </w:rPr>
      </w:pPr>
      <w:r>
        <w:rPr>
          <w:rFonts w:ascii="Times New Roman" w:hAnsi="Times New Roman" w:cs="Times New Roman"/>
          <w:kern w:val="2"/>
          <w:sz w:val="21"/>
          <w:szCs w:val="21"/>
        </w:rPr>
        <w:t>3</w:t>
      </w:r>
      <w:r>
        <w:rPr>
          <w:rFonts w:hint="eastAsia" w:ascii="Times New Roman" w:hAnsi="Times New Roman" w:cs="Times New Roman"/>
          <w:kern w:val="2"/>
          <w:sz w:val="21"/>
          <w:szCs w:val="21"/>
        </w:rPr>
        <w:t>、</w:t>
      </w:r>
      <w:r>
        <w:rPr>
          <w:rFonts w:hint="eastAsia" w:ascii="Times New Roman" w:hAnsi="Times New Roman" w:cs="Times New Roman" w:eastAsiaTheme="minorEastAsia"/>
          <w:kern w:val="2"/>
          <w:sz w:val="21"/>
          <w:szCs w:val="21"/>
        </w:rPr>
        <w:t>增强</w:t>
      </w:r>
      <w:r>
        <w:rPr>
          <w:rFonts w:hint="eastAsia" w:cs="Times New Roman" w:asciiTheme="minorEastAsia" w:hAnsiTheme="minorEastAsia" w:eastAsiaTheme="minorEastAsia"/>
          <w:bCs/>
          <w:smallCaps/>
          <w:spacing w:val="5"/>
          <w:kern w:val="2"/>
          <w:sz w:val="21"/>
          <w:szCs w:val="21"/>
        </w:rPr>
        <w:t>珍爱生命及养成健康行为习惯意识，</w:t>
      </w:r>
      <w:r>
        <w:rPr>
          <w:rFonts w:hint="eastAsia" w:ascii="Times New Roman" w:hAnsi="Times New Roman" w:cs="Times New Roman" w:eastAsiaTheme="minorEastAsia"/>
          <w:kern w:val="2"/>
          <w:sz w:val="21"/>
          <w:szCs w:val="21"/>
        </w:rPr>
        <w:t>加强对个别学生的</w:t>
      </w:r>
      <w:r>
        <w:rPr>
          <w:rFonts w:hint="eastAsia" w:cs="Times New Roman" w:asciiTheme="minorEastAsia" w:hAnsiTheme="minorEastAsia" w:eastAsiaTheme="minorEastAsia"/>
          <w:bCs/>
          <w:smallCaps/>
          <w:spacing w:val="5"/>
          <w:kern w:val="2"/>
          <w:sz w:val="21"/>
          <w:szCs w:val="21"/>
        </w:rPr>
        <w:t>关注。</w:t>
      </w:r>
      <w:r>
        <w:rPr>
          <w:rFonts w:cs="Times New Roman" w:asciiTheme="minorEastAsia" w:hAnsiTheme="minorEastAsia" w:eastAsiaTheme="minorEastAsia"/>
          <w:bCs/>
          <w:smallCaps/>
          <w:spacing w:val="5"/>
          <w:kern w:val="2"/>
          <w:sz w:val="21"/>
          <w:szCs w:val="21"/>
        </w:rPr>
        <w:t xml:space="preserve"> </w:t>
      </w:r>
      <w:r>
        <w:rPr>
          <w:rFonts w:ascii="Times New Roman" w:hAnsi="Times New Roman" w:cs="Times New Roman"/>
          <w:bCs/>
          <w:smallCaps/>
          <w:spacing w:val="5"/>
          <w:kern w:val="2"/>
          <w:sz w:val="21"/>
          <w:szCs w:val="21"/>
        </w:rPr>
        <w:t>2017</w:t>
      </w:r>
      <w:r>
        <w:rPr>
          <w:rFonts w:hint="eastAsia" w:ascii="Times New Roman" w:hAnsi="Times New Roman" w:cs="Times New Roman"/>
          <w:bCs/>
          <w:smallCaps/>
          <w:spacing w:val="5"/>
          <w:kern w:val="2"/>
          <w:sz w:val="21"/>
          <w:szCs w:val="21"/>
        </w:rPr>
        <w:t>级学生中大部分同学能够正确理解生命意义和人生价值，具有安全意识与自我保护能力，掌握适合自身的运动方法和技能，养成健康文明的行为习惯和生活方式等。但同时有些个</w:t>
      </w:r>
      <w:r>
        <w:rPr>
          <w:rFonts w:hint="eastAsia" w:ascii="Times New Roman" w:hAnsi="Times New Roman"/>
          <w:sz w:val="21"/>
          <w:szCs w:val="21"/>
        </w:rPr>
        <w:t>别</w:t>
      </w:r>
      <w:r>
        <w:rPr>
          <w:rFonts w:hint="eastAsia" w:ascii="Times New Roman" w:hAnsi="Times New Roman" w:cs="Times New Roman"/>
          <w:bCs/>
          <w:smallCaps/>
          <w:spacing w:val="5"/>
          <w:kern w:val="2"/>
          <w:sz w:val="21"/>
          <w:szCs w:val="21"/>
        </w:rPr>
        <w:t>学生，因其成长环境、家庭、个性</w:t>
      </w:r>
      <w:r>
        <w:rPr>
          <w:rFonts w:hint="eastAsia" w:ascii="Times New Roman" w:hAnsi="Times New Roman"/>
          <w:sz w:val="21"/>
          <w:szCs w:val="21"/>
        </w:rPr>
        <w:t>等</w:t>
      </w:r>
      <w:r>
        <w:rPr>
          <w:rFonts w:hint="eastAsia" w:ascii="Times New Roman" w:hAnsi="Times New Roman" w:cs="Times New Roman"/>
          <w:bCs/>
          <w:smallCaps/>
          <w:spacing w:val="5"/>
          <w:kern w:val="2"/>
          <w:sz w:val="21"/>
          <w:szCs w:val="21"/>
        </w:rPr>
        <w:t>问题会造成轻生、行为及情绪异常等问题，而且</w:t>
      </w:r>
      <w:r>
        <w:rPr>
          <w:rFonts w:hint="eastAsia" w:ascii="Times New Roman" w:hAnsi="Times New Roman"/>
          <w:sz w:val="21"/>
          <w:szCs w:val="21"/>
        </w:rPr>
        <w:t>这些问题</w:t>
      </w:r>
      <w:r>
        <w:rPr>
          <w:rFonts w:hint="eastAsia" w:ascii="Times New Roman" w:hAnsi="Times New Roman" w:cs="Times New Roman"/>
          <w:bCs/>
          <w:smallCaps/>
          <w:spacing w:val="5"/>
          <w:kern w:val="2"/>
          <w:sz w:val="21"/>
          <w:szCs w:val="21"/>
        </w:rPr>
        <w:t>一旦出现即是人身安全的重大问题，需要特别关注。</w:t>
      </w:r>
    </w:p>
    <w:p>
      <w:pPr>
        <w:pStyle w:val="15"/>
        <w:numPr>
          <w:ilvl w:val="0"/>
          <w:numId w:val="2"/>
        </w:numPr>
        <w:spacing w:line="360" w:lineRule="auto"/>
        <w:ind w:firstLineChars="0"/>
        <w:rPr>
          <w:b/>
          <w:szCs w:val="21"/>
        </w:rPr>
      </w:pPr>
      <w:r>
        <w:rPr>
          <w:rFonts w:hint="eastAsia"/>
          <w:b/>
          <w:szCs w:val="21"/>
        </w:rPr>
        <w:t>学生需提高学习能力，掌握科学的学习方法</w:t>
      </w:r>
    </w:p>
    <w:p>
      <w:pPr>
        <w:spacing w:line="360" w:lineRule="auto"/>
        <w:ind w:firstLine="420" w:firstLineChars="200"/>
        <w:rPr>
          <w:szCs w:val="21"/>
        </w:rPr>
      </w:pPr>
      <w:r>
        <w:rPr>
          <w:rFonts w:hint="eastAsia"/>
          <w:szCs w:val="21"/>
        </w:rPr>
        <w:t>1、学习目标明确，具备一定学习动力。 2017级学生将学习目标确定为“为今后工作”、“为将来个人幸福生活”、“为国家富强”的比例分别为</w:t>
      </w:r>
      <w:r>
        <w:rPr>
          <w:szCs w:val="21"/>
        </w:rPr>
        <w:t>43%</w:t>
      </w:r>
      <w:r>
        <w:rPr>
          <w:rFonts w:hint="eastAsia"/>
          <w:szCs w:val="21"/>
        </w:rPr>
        <w:t>、</w:t>
      </w:r>
      <w:r>
        <w:rPr>
          <w:szCs w:val="21"/>
        </w:rPr>
        <w:t>33%</w:t>
      </w:r>
      <w:r>
        <w:rPr>
          <w:rFonts w:hint="eastAsia"/>
          <w:szCs w:val="21"/>
        </w:rPr>
        <w:t>和</w:t>
      </w:r>
      <w:r>
        <w:rPr>
          <w:szCs w:val="21"/>
        </w:rPr>
        <w:t>20%</w:t>
      </w:r>
      <w:r>
        <w:rPr>
          <w:rFonts w:hint="eastAsia"/>
          <w:szCs w:val="21"/>
        </w:rPr>
        <w:t>，三项合计达</w:t>
      </w:r>
      <w:r>
        <w:rPr>
          <w:szCs w:val="21"/>
        </w:rPr>
        <w:t>96%</w:t>
      </w:r>
      <w:r>
        <w:rPr>
          <w:rFonts w:hint="eastAsia"/>
          <w:szCs w:val="21"/>
        </w:rPr>
        <w:t>，说明同学们读书目的明确，能够有意识地将学习和职业联系起来，</w:t>
      </w:r>
      <w:r>
        <w:rPr>
          <w:szCs w:val="21"/>
        </w:rPr>
        <w:t>能正确认识和理解学习的价值</w:t>
      </w:r>
      <w:r>
        <w:rPr>
          <w:rFonts w:hint="eastAsia"/>
          <w:szCs w:val="21"/>
        </w:rPr>
        <w:t>。</w:t>
      </w:r>
      <w:r>
        <w:rPr>
          <w:szCs w:val="21"/>
        </w:rPr>
        <w:t xml:space="preserve"> </w:t>
      </w:r>
    </w:p>
    <w:p>
      <w:pPr>
        <w:spacing w:line="360" w:lineRule="auto"/>
        <w:ind w:firstLine="420" w:firstLineChars="200"/>
        <w:rPr>
          <w:szCs w:val="21"/>
        </w:rPr>
      </w:pPr>
      <w:r>
        <w:rPr>
          <w:rFonts w:hint="eastAsia"/>
          <w:szCs w:val="21"/>
        </w:rPr>
        <w:t>2、自主学习能力较弱，勤于反思能力需提高。 2017级学生生源中考成绩大部分处在430分至460分之间，文化基础较为薄弱，自主学习能力、自主安排学习计划能力较差，需要教师充分设计课堂形式，调动学生</w:t>
      </w:r>
      <w:r>
        <w:rPr>
          <w:szCs w:val="21"/>
        </w:rPr>
        <w:t>学习态度和</w:t>
      </w:r>
      <w:r>
        <w:rPr>
          <w:rFonts w:hint="eastAsia"/>
          <w:szCs w:val="21"/>
        </w:rPr>
        <w:t>激发</w:t>
      </w:r>
      <w:r>
        <w:rPr>
          <w:szCs w:val="21"/>
        </w:rPr>
        <w:t>浓厚的学习兴趣</w:t>
      </w:r>
      <w:r>
        <w:rPr>
          <w:rFonts w:hint="eastAsia"/>
          <w:szCs w:val="21"/>
        </w:rPr>
        <w:t>，引导学习方法，从而培养出</w:t>
      </w:r>
      <w:r>
        <w:rPr>
          <w:szCs w:val="21"/>
        </w:rPr>
        <w:t>良好的学习习惯，掌握适合自身的学习方法</w:t>
      </w:r>
      <w:r>
        <w:rPr>
          <w:rFonts w:hint="eastAsia"/>
          <w:szCs w:val="21"/>
        </w:rPr>
        <w:t>。学校希望通过德育课程改革，</w:t>
      </w:r>
      <w:r>
        <w:rPr>
          <w:szCs w:val="21"/>
        </w:rPr>
        <w:t>能够</w:t>
      </w:r>
      <w:r>
        <w:rPr>
          <w:rFonts w:hint="eastAsia"/>
          <w:szCs w:val="21"/>
        </w:rPr>
        <w:t>培养学生</w:t>
      </w:r>
      <w:r>
        <w:rPr>
          <w:szCs w:val="21"/>
        </w:rPr>
        <w:t>根据不同情境和自身实际，选择或调整学习策略和方法等。</w:t>
      </w:r>
    </w:p>
    <w:p>
      <w:pPr>
        <w:spacing w:line="360" w:lineRule="auto"/>
        <w:ind w:firstLine="420" w:firstLineChars="200"/>
        <w:rPr>
          <w:szCs w:val="21"/>
        </w:rPr>
      </w:pPr>
      <w:r>
        <w:rPr>
          <w:rFonts w:hint="eastAsia"/>
          <w:szCs w:val="21"/>
        </w:rPr>
        <w:t>3、信息意识较强，数字化学习兴趣浓厚。 2017级学生</w:t>
      </w:r>
      <w:r>
        <w:rPr>
          <w:szCs w:val="21"/>
        </w:rPr>
        <w:t>能自觉、有效地获取、评估、鉴别、使用信息</w:t>
      </w:r>
      <w:r>
        <w:rPr>
          <w:rFonts w:hint="eastAsia"/>
          <w:szCs w:val="21"/>
        </w:rPr>
        <w:t>，</w:t>
      </w:r>
      <w:r>
        <w:rPr>
          <w:szCs w:val="21"/>
        </w:rPr>
        <w:t>具有数字化生存能力，</w:t>
      </w:r>
      <w:r>
        <w:rPr>
          <w:rFonts w:hint="eastAsia"/>
          <w:szCs w:val="21"/>
        </w:rPr>
        <w:t>能</w:t>
      </w:r>
      <w:r>
        <w:rPr>
          <w:szCs w:val="21"/>
        </w:rPr>
        <w:t>主动适应</w:t>
      </w:r>
      <w:r>
        <w:rPr>
          <w:rFonts w:hint="eastAsia"/>
          <w:szCs w:val="21"/>
        </w:rPr>
        <w:t>“互联网</w:t>
      </w:r>
      <w:r>
        <w:rPr>
          <w:szCs w:val="21"/>
        </w:rPr>
        <w:t>+</w:t>
      </w:r>
      <w:r>
        <w:rPr>
          <w:rFonts w:hint="eastAsia"/>
          <w:szCs w:val="21"/>
        </w:rPr>
        <w:t>”等社会信息化发展趋势；在课堂授课过程中，以及在学校组织“教育教学成果展”、“小教师”等实践活动中，学生都能够主动学习网络技术及数字化技术，并应用到实际需要中。学校在做德育工作时，可以考虑以此为突破口提高学生的学习能力。</w:t>
      </w:r>
    </w:p>
    <w:p>
      <w:pPr>
        <w:pStyle w:val="9"/>
        <w:spacing w:before="0" w:beforeAutospacing="0" w:after="0" w:afterAutospacing="0" w:line="360" w:lineRule="auto"/>
        <w:ind w:firstLine="422" w:firstLineChars="200"/>
        <w:rPr>
          <w:rFonts w:ascii="Times New Roman" w:hAnsi="Times New Roman" w:cs="Times New Roman"/>
          <w:b/>
          <w:kern w:val="2"/>
          <w:sz w:val="21"/>
          <w:szCs w:val="21"/>
        </w:rPr>
      </w:pPr>
      <w:r>
        <w:rPr>
          <w:rFonts w:hint="eastAsia" w:ascii="Times New Roman" w:hAnsi="Times New Roman" w:cs="Times New Roman"/>
          <w:b/>
          <w:kern w:val="2"/>
          <w:sz w:val="21"/>
          <w:szCs w:val="21"/>
        </w:rPr>
        <w:t>（五）学生初步接受生态文明教育，参与保护环境专题实践活动意愿强烈</w:t>
      </w:r>
    </w:p>
    <w:p>
      <w:pPr>
        <w:spacing w:line="360" w:lineRule="auto"/>
        <w:ind w:firstLine="480"/>
        <w:rPr>
          <w:szCs w:val="21"/>
        </w:rPr>
      </w:pPr>
      <w:r>
        <w:rPr>
          <w:szCs w:val="21"/>
        </w:rPr>
        <w:t>2017</w:t>
      </w:r>
      <w:r>
        <w:rPr>
          <w:rFonts w:hint="eastAsia"/>
          <w:szCs w:val="21"/>
        </w:rPr>
        <w:t>级学生通过地理、政治、生物、化学、物理等课程学习，观看“辉煌中国”、“超级工程”系列纪录片，以及班级板报展示活动等方式，学习了我国的土地、水、粮食等资源的基本国情，了解了祖国的大好河山和地理地貌，初步建立了对生态环境的认知，加强了节约教育和环境保护教育。学生对保护环境的各类实践活动均踊跃参加，表现出很高的参与热情。</w:t>
      </w:r>
    </w:p>
    <w:p>
      <w:pPr>
        <w:spacing w:line="360" w:lineRule="auto"/>
        <w:ind w:left="360"/>
        <w:rPr>
          <w:b/>
          <w:szCs w:val="21"/>
        </w:rPr>
      </w:pPr>
      <w:r>
        <w:rPr>
          <w:rFonts w:hint="eastAsia"/>
          <w:b/>
          <w:szCs w:val="21"/>
        </w:rPr>
        <w:t>（六）学生对教师职业认知须加强，期待职业认知教育形式实践性和多样性</w:t>
      </w:r>
    </w:p>
    <w:p>
      <w:pPr>
        <w:autoSpaceDE w:val="0"/>
        <w:autoSpaceDN w:val="0"/>
        <w:adjustRightInd w:val="0"/>
        <w:spacing w:line="360" w:lineRule="auto"/>
        <w:ind w:firstLine="420" w:firstLineChars="200"/>
        <w:jc w:val="left"/>
        <w:rPr>
          <w:szCs w:val="21"/>
        </w:rPr>
      </w:pPr>
      <w:r>
        <w:rPr>
          <w:szCs w:val="21"/>
        </w:rPr>
        <w:t>1</w:t>
      </w:r>
      <w:r>
        <w:rPr>
          <w:rFonts w:hint="eastAsia"/>
          <w:szCs w:val="21"/>
        </w:rPr>
        <w:t>、教师职业定位明确，职业目标清晰。</w:t>
      </w:r>
      <w:r>
        <w:rPr>
          <w:szCs w:val="21"/>
        </w:rPr>
        <w:t xml:space="preserve"> 2017</w:t>
      </w:r>
      <w:r>
        <w:rPr>
          <w:rFonts w:hint="eastAsia"/>
          <w:szCs w:val="21"/>
        </w:rPr>
        <w:t>级学生选择教育类专业的原因包括很多方面，其中热爱教育事业占</w:t>
      </w:r>
      <w:r>
        <w:rPr>
          <w:szCs w:val="21"/>
        </w:rPr>
        <w:t>24%</w:t>
      </w:r>
      <w:r>
        <w:rPr>
          <w:rFonts w:hint="eastAsia"/>
          <w:szCs w:val="21"/>
        </w:rPr>
        <w:t>，专业与个人兴趣爱好相符合占</w:t>
      </w:r>
      <w:r>
        <w:rPr>
          <w:szCs w:val="21"/>
        </w:rPr>
        <w:t>20%</w:t>
      </w:r>
      <w:r>
        <w:rPr>
          <w:rFonts w:hint="eastAsia"/>
          <w:szCs w:val="21"/>
        </w:rPr>
        <w:t>，工作稳定占</w:t>
      </w:r>
      <w:r>
        <w:rPr>
          <w:szCs w:val="21"/>
        </w:rPr>
        <w:t>19%</w:t>
      </w:r>
      <w:r>
        <w:rPr>
          <w:rFonts w:hint="eastAsia"/>
          <w:szCs w:val="21"/>
        </w:rPr>
        <w:t>，假期较多占</w:t>
      </w:r>
      <w:r>
        <w:rPr>
          <w:szCs w:val="21"/>
        </w:rPr>
        <w:t>9%</w:t>
      </w:r>
      <w:r>
        <w:rPr>
          <w:rFonts w:hint="eastAsia"/>
          <w:szCs w:val="21"/>
        </w:rPr>
        <w:t>，能从中获得成就感占</w:t>
      </w:r>
      <w:r>
        <w:rPr>
          <w:szCs w:val="21"/>
        </w:rPr>
        <w:t>7%</w:t>
      </w:r>
      <w:r>
        <w:rPr>
          <w:rFonts w:hint="eastAsia"/>
          <w:szCs w:val="21"/>
        </w:rPr>
        <w:t>，这些原因共占</w:t>
      </w:r>
      <w:r>
        <w:rPr>
          <w:szCs w:val="21"/>
        </w:rPr>
        <w:t>79%</w:t>
      </w:r>
      <w:r>
        <w:rPr>
          <w:rFonts w:hint="eastAsia"/>
          <w:szCs w:val="21"/>
        </w:rPr>
        <w:t>的比例，这也</w:t>
      </w:r>
      <w:r>
        <w:rPr>
          <w:rFonts w:hint="eastAsia"/>
          <w:kern w:val="0"/>
          <w:szCs w:val="21"/>
        </w:rPr>
        <w:t>说明同学们在报考教育类专业时，对教育事业和自身兴趣考虑得比较多，同时考虑到了该职业相对比较稳定。同时，</w:t>
      </w:r>
      <w:r>
        <w:rPr>
          <w:rFonts w:hint="eastAsia"/>
          <w:szCs w:val="21"/>
        </w:rPr>
        <w:t>从调查中还发现，女生在“专业与个人兴趣爱好相符合”这一项上更加看重，而男生更重视“能从中获得成就感”。</w:t>
      </w:r>
    </w:p>
    <w:p>
      <w:pPr>
        <w:autoSpaceDE w:val="0"/>
        <w:autoSpaceDN w:val="0"/>
        <w:adjustRightInd w:val="0"/>
        <w:spacing w:line="360" w:lineRule="auto"/>
        <w:ind w:firstLine="420" w:firstLineChars="200"/>
        <w:jc w:val="left"/>
        <w:rPr>
          <w:szCs w:val="21"/>
        </w:rPr>
      </w:pPr>
      <w:r>
        <w:rPr>
          <w:rFonts w:hint="eastAsia"/>
          <w:szCs w:val="21"/>
        </w:rPr>
        <w:t>2、初步建立教师职业认知，但缺乏对师德规范的具体理解。 2017级学生对教师职业具备初步的认知，但对教育行业职业规范和教师行业职业道德、职业操守的具体内容认识不足，并且想进一步学习和了解的意愿强烈，需要加以引导和培养。</w:t>
      </w:r>
    </w:p>
    <w:p>
      <w:pPr>
        <w:autoSpaceDE w:val="0"/>
        <w:autoSpaceDN w:val="0"/>
        <w:adjustRightInd w:val="0"/>
        <w:spacing w:line="360" w:lineRule="auto"/>
        <w:ind w:firstLine="420" w:firstLineChars="200"/>
        <w:jc w:val="left"/>
        <w:rPr>
          <w:szCs w:val="21"/>
        </w:rPr>
      </w:pPr>
      <w:r>
        <w:rPr>
          <w:rFonts w:hint="eastAsia"/>
          <w:szCs w:val="21"/>
        </w:rPr>
        <w:t>3、期待职业道德教育形式的实践性、多样性、灵活性。 2017级学生认为进行教师职业道德教育可行的对策中，“加强学生的实践活动和侧重教育实习”这一项目高居榜首。受访教师也反映，学生对于实践性的教育方式兴趣较强，效果较好。其次，学生认为应该加强课程内容现实化与多样化，坚持师德培养与师德理论实践相结合。任课教师、班主任及学生管理工作教师也都表示，灵活多样的课堂授课方式</w:t>
      </w:r>
      <w:r>
        <w:rPr>
          <w:rFonts w:hint="eastAsia" w:ascii="宋体" w:hAnsi="宋体"/>
          <w:szCs w:val="21"/>
        </w:rPr>
        <w:t>、</w:t>
      </w:r>
      <w:r>
        <w:rPr>
          <w:rFonts w:hint="eastAsia"/>
          <w:szCs w:val="21"/>
        </w:rPr>
        <w:t>实践活动及社团活动等更能调动学生参与的积极性，身体力行，切身体会教师职业的道德规范，效果较好。因此，学校需要加大课程改革，实践基地建设，以及社团建设等多方面工作力度，从而更好地渗透德育工作。</w:t>
      </w:r>
    </w:p>
    <w:p>
      <w:pPr>
        <w:spacing w:line="360" w:lineRule="auto"/>
        <w:ind w:left="360"/>
        <w:rPr>
          <w:b/>
          <w:szCs w:val="21"/>
        </w:rPr>
      </w:pPr>
      <w:r>
        <w:rPr>
          <w:rFonts w:hint="eastAsia"/>
          <w:b/>
          <w:szCs w:val="21"/>
        </w:rPr>
        <w:t>（七）学生希望加强家校合作，促进与家人关系</w:t>
      </w:r>
    </w:p>
    <w:p>
      <w:pPr>
        <w:spacing w:line="360" w:lineRule="auto"/>
        <w:ind w:firstLine="420" w:firstLineChars="200"/>
        <w:rPr>
          <w:szCs w:val="21"/>
        </w:rPr>
      </w:pPr>
      <w:r>
        <w:rPr>
          <w:rFonts w:hint="eastAsia"/>
          <w:szCs w:val="21"/>
        </w:rPr>
        <w:t>2017级学生中94%的家庭注重思想道德培养，</w:t>
      </w:r>
      <w:r>
        <w:rPr>
          <w:szCs w:val="21"/>
        </w:rPr>
        <w:t>70%</w:t>
      </w:r>
      <w:r>
        <w:rPr>
          <w:rFonts w:hint="eastAsia"/>
          <w:szCs w:val="21"/>
        </w:rPr>
        <w:t>以上的学生经常与家长经常沟通，参与家庭决策。由于学生均为未成年人，又处于青春期，在学习成长中难免面临诸多问题，而自己又没有足够的能力解决，需要家长的及时帮助。同时，家长也非常关注学生在校各方面表现，尤其是身心健康、行为规范、与人交往、职业技能等方面。可见，搭建学校与家长之间的沟通平台是非常必要的。学校要积极争取家庭支持学校德育工作，进一步发挥家长委员会的作用，促进学校、家长、学生之间的相互沟通与理解，发挥家、校协同管理机制，形成教育合力。</w:t>
      </w:r>
    </w:p>
    <w:p>
      <w:pPr>
        <w:spacing w:line="360" w:lineRule="auto"/>
        <w:ind w:firstLine="420" w:firstLineChars="200"/>
        <w:rPr>
          <w:szCs w:val="21"/>
        </w:rPr>
      </w:pPr>
      <w:r>
        <w:rPr>
          <w:rFonts w:hint="eastAsia"/>
          <w:szCs w:val="21"/>
        </w:rPr>
        <w:t>综上可见，2017级学生核心素养在两方面表现良好，第一，学生担当意识较强，国家认同感较强，其中中国传统文化的理解与践行需要教师深入引导；第二，实践创新意愿较强，实践能力较强。学生需要提高的核心素养也有两方面，第一，健康生活能力提升迫在眉睫，其中主要是心理健康和自我管理能力急需提高；第二，学习和掌握学习方法能力不足，其中主要是自主学习能力需提高。学生希望学校加强培养的核心素养有三项，第一，希望亲近自然接受生态文明教育；第二，希望增强对教师职业认知和职业道德规范的具体了解，并希望通过实践和实习的方式实现；第三，希望家校合作促进个人成长。</w:t>
      </w:r>
    </w:p>
    <w:p>
      <w:pPr>
        <w:spacing w:line="360" w:lineRule="auto"/>
        <w:ind w:firstLine="420" w:firstLineChars="200"/>
        <w:rPr>
          <w:szCs w:val="21"/>
        </w:rPr>
      </w:pPr>
      <w:r>
        <w:rPr>
          <w:rFonts w:hint="eastAsia"/>
          <w:szCs w:val="21"/>
        </w:rPr>
        <w:t>通过调研，针对学生核心素养现状及特点，把脉学生需求，学部以“培养基础素质，建立职业认知，挖掘发展潜力”为指导，完善德育工作理论，制定德育工作机制，促进德育工作的开展。</w:t>
      </w:r>
    </w:p>
    <w:p>
      <w:pPr>
        <w:pStyle w:val="15"/>
        <w:numPr>
          <w:ilvl w:val="0"/>
          <w:numId w:val="1"/>
        </w:numPr>
        <w:spacing w:line="360" w:lineRule="auto"/>
        <w:ind w:firstLineChars="0"/>
        <w:rPr>
          <w:b/>
          <w:szCs w:val="21"/>
        </w:rPr>
      </w:pPr>
      <w:r>
        <w:rPr>
          <w:rFonts w:hint="eastAsia"/>
          <w:b/>
          <w:szCs w:val="21"/>
        </w:rPr>
        <w:t>德育工作有效途径的建议</w:t>
      </w:r>
    </w:p>
    <w:p>
      <w:pPr>
        <w:spacing w:line="360" w:lineRule="auto"/>
        <w:ind w:firstLine="527" w:firstLineChars="250"/>
        <w:rPr>
          <w:b/>
          <w:szCs w:val="21"/>
        </w:rPr>
      </w:pPr>
      <w:r>
        <w:rPr>
          <w:rFonts w:hint="eastAsia"/>
          <w:b/>
          <w:szCs w:val="21"/>
        </w:rPr>
        <w:t>（一）加强德育工作途径的理论指导</w:t>
      </w:r>
    </w:p>
    <w:p>
      <w:pPr>
        <w:spacing w:line="360" w:lineRule="auto"/>
        <w:ind w:firstLine="525" w:firstLineChars="250"/>
        <w:rPr>
          <w:szCs w:val="21"/>
        </w:rPr>
      </w:pPr>
      <w:r>
        <w:rPr>
          <w:rFonts w:hint="eastAsia"/>
          <w:szCs w:val="21"/>
        </w:rPr>
        <w:t>当代德育理论流派中，具有影响力的有关心、价值澄清、认知发展、完整人格、逻辑推理等流派，这些流派各有侧重，或重视关爱学生，或以爱国主义为核心，或重视中国传统文化，或强调以人为本，或倡导隐性德育，或注重道德价值取向体验，由此衍生出来了若干种德育模式。具体来说，道德学习模式强调道德教育重点由强制性的教育转向自主性的学习；欣赏型德育模式认为，在德育过程中存在</w:t>
      </w:r>
      <w:r>
        <w:rPr>
          <w:szCs w:val="21"/>
        </w:rPr>
        <w:t xml:space="preserve"> </w:t>
      </w:r>
      <w:r>
        <w:rPr>
          <w:rFonts w:hint="eastAsia"/>
          <w:szCs w:val="21"/>
        </w:rPr>
        <w:t>“德育美”，必须进行道德教育活动中各种美的创造和欣赏；对话型德育模式认为，德育对话是师生之间心理交流的过程，双方平等，遵守一定的规则，态度真诚，循序渐进，根据学生的道德发展水平提出适当的要求；活动型德育模式认为，应该在学生主动参与的游戏、劳动、学生之间的外部协作和其他集体性活动等发掘其道德教育意义；生活型德育模式则重视以自然真实的生活为基本途径对学生实施的德育；主体德育模式则强调尊重学生的主体性，摈弃“说教式”和“管教式”等僵化的把学生当作客体的德育方式。总的来说，当前比较主流的教育观念均部分否定（或改变）了传统的灌输模式，而对提升学生在德育过程中的主体性，在实践活动中让学生得到体验和训练等的模式关注良多。这些理论及经验对我校七年贯通培养的德育工作具有指导意义，这些理论都可以合理地整合应用于实践工作中。</w:t>
      </w:r>
    </w:p>
    <w:p>
      <w:pPr>
        <w:spacing w:line="360" w:lineRule="auto"/>
        <w:ind w:firstLine="420"/>
        <w:rPr>
          <w:b/>
          <w:szCs w:val="21"/>
        </w:rPr>
      </w:pPr>
      <w:r>
        <w:rPr>
          <w:rFonts w:hint="eastAsia"/>
          <w:b/>
          <w:szCs w:val="21"/>
        </w:rPr>
        <w:t>（二）重视七年贯通培养德育工作的特殊性</w:t>
      </w:r>
    </w:p>
    <w:p>
      <w:pPr>
        <w:autoSpaceDE w:val="0"/>
        <w:autoSpaceDN w:val="0"/>
        <w:adjustRightInd w:val="0"/>
        <w:spacing w:line="360" w:lineRule="auto"/>
        <w:ind w:firstLine="420" w:firstLineChars="200"/>
        <w:jc w:val="left"/>
        <w:rPr>
          <w:szCs w:val="21"/>
        </w:rPr>
      </w:pPr>
      <w:r>
        <w:rPr>
          <w:szCs w:val="21"/>
        </w:rPr>
        <w:t>1</w:t>
      </w:r>
      <w:r>
        <w:rPr>
          <w:rFonts w:hint="eastAsia"/>
          <w:szCs w:val="21"/>
        </w:rPr>
        <w:t>、一体化的培养机制  我校“七年制贯通培养”，为“七年一校培养制”，即高中三年（基础教育阶段）、专科两年和本科两年的贯通式教育都在一所学校完成，而并非与其他学校合作培养。教育学部全面负责七年贯通培养项目，该学部建立专门管理部门和师资团队，全面负责高中三年的基础教育；学部已有完善的专科、本科管理部门和师资团队，全面负责专科两年和本科两年的教育。因此，我校在建立一体化培养机制方面具有先天优势性，在培养理念、培养目标、师资团队、教学内容、教学方法等方面都能切实落实一体化培养。</w:t>
      </w:r>
    </w:p>
    <w:p>
      <w:pPr>
        <w:autoSpaceDE w:val="0"/>
        <w:autoSpaceDN w:val="0"/>
        <w:adjustRightInd w:val="0"/>
        <w:spacing w:line="360" w:lineRule="auto"/>
        <w:ind w:firstLine="420" w:firstLineChars="200"/>
        <w:jc w:val="left"/>
        <w:rPr>
          <w:szCs w:val="21"/>
        </w:rPr>
      </w:pPr>
      <w:r>
        <w:rPr>
          <w:szCs w:val="21"/>
        </w:rPr>
        <w:t>2</w:t>
      </w:r>
      <w:r>
        <w:rPr>
          <w:rFonts w:hint="eastAsia"/>
          <w:szCs w:val="21"/>
        </w:rPr>
        <w:t>、层级化的培养目标  学校的德育工作要以高端应用型人才培养目标为出发点和归宿，将现有的《普通高中思想政治课程标准》和高校思想政治理论课程目标有机整合，确立以思想道德修养和科学文化素养为基础，意识形态教育为方向，职业素养教育为主线，心理素质教育和法治教育为补充的贯通式德育工作总目标，并根据不同培养阶段学生的学习和认知能力，将总体目标进一步细化，确定不同学段的具体课程目标。具体来说，在基础教育阶段，要侧重于思想道德修养和科学文化素养教育，培养学生的人格品质、健康心理和法治常识，培养学生自主、自立、自强的品格，注重学生良好行为习惯的养成，促进学生身心健康发展，帮助学生树立正确的世界观、人生观、价值观，为后续教育做好铺垫；在高等教育阶段，注重理论与实践相结合，一方面提高学生独立分析问题和解决问题的能力，另一方面以教师职业为导</w:t>
      </w:r>
      <w:r>
        <w:rPr>
          <w:rFonts w:hint="eastAsia" w:cs="AdobeHeitiStd-Regular"/>
          <w:kern w:val="0"/>
          <w:szCs w:val="21"/>
        </w:rPr>
        <w:t>向</w:t>
      </w:r>
      <w:r>
        <w:rPr>
          <w:rFonts w:hint="eastAsia" w:cs="DY124+ZCIG3g-124"/>
          <w:kern w:val="0"/>
          <w:szCs w:val="21"/>
        </w:rPr>
        <w:t>，</w:t>
      </w:r>
      <w:r>
        <w:rPr>
          <w:rFonts w:hint="eastAsia" w:cs="AdobeHeitiStd-Regular"/>
          <w:kern w:val="0"/>
          <w:szCs w:val="21"/>
        </w:rPr>
        <w:t>加强职业道德和职业素养教育</w:t>
      </w:r>
      <w:r>
        <w:rPr>
          <w:rFonts w:hint="eastAsia" w:cs="DY124+ZCIG3g-124"/>
          <w:kern w:val="0"/>
          <w:szCs w:val="21"/>
        </w:rPr>
        <w:t>，</w:t>
      </w:r>
      <w:r>
        <w:rPr>
          <w:rFonts w:hint="eastAsia" w:cs="AdobeHeitiStd-Regular"/>
          <w:kern w:val="0"/>
          <w:szCs w:val="21"/>
        </w:rPr>
        <w:t>提高学生职业能力和一定的理论研究能力</w:t>
      </w:r>
      <w:r>
        <w:rPr>
          <w:rFonts w:hint="eastAsia" w:cs="DY124+ZCIG3g-124"/>
          <w:kern w:val="0"/>
          <w:szCs w:val="21"/>
        </w:rPr>
        <w:t>，</w:t>
      </w:r>
      <w:r>
        <w:rPr>
          <w:rFonts w:hint="eastAsia" w:cs="AdobeHeitiStd-Regular"/>
          <w:kern w:val="0"/>
          <w:szCs w:val="21"/>
        </w:rPr>
        <w:t>为学生适应岗位要求，培养职业潜力打下坚实的基础</w:t>
      </w:r>
      <w:r>
        <w:rPr>
          <w:rFonts w:hint="eastAsia" w:cs="DY124+ZCIG3g-124"/>
          <w:kern w:val="0"/>
          <w:szCs w:val="21"/>
        </w:rPr>
        <w:t>。</w:t>
      </w:r>
    </w:p>
    <w:p>
      <w:pPr>
        <w:spacing w:line="360" w:lineRule="auto"/>
        <w:ind w:firstLine="420"/>
        <w:rPr>
          <w:szCs w:val="21"/>
        </w:rPr>
      </w:pPr>
      <w:r>
        <w:rPr>
          <w:rFonts w:hint="eastAsia"/>
          <w:szCs w:val="21"/>
        </w:rPr>
        <w:t>3、多样化的培养方法  德育工作在实施过程中，存在一定的无形性，因此传统的德育培养方式需要不断积极创新，尤其是七年贯通制学生，需要在不同年龄阶段和不同学历层次采用相应的教育方式方法，比如课程育人、文化育人、活动育人、实践育人、管理育人、协同育人等方式，都能充分调动学生参与度和体验感，整合家庭资源和社会资源与学校形成合力，以实现寓教于乐的效果。</w:t>
      </w:r>
    </w:p>
    <w:p>
      <w:pPr>
        <w:spacing w:line="360" w:lineRule="auto"/>
        <w:ind w:firstLine="420"/>
        <w:rPr>
          <w:szCs w:val="21"/>
        </w:rPr>
      </w:pPr>
      <w:r>
        <w:rPr>
          <w:szCs w:val="21"/>
        </w:rPr>
        <w:t>4</w:t>
      </w:r>
      <w:r>
        <w:rPr>
          <w:rFonts w:hint="eastAsia"/>
          <w:szCs w:val="21"/>
        </w:rPr>
        <w:t>、</w:t>
      </w:r>
      <w:r>
        <w:rPr>
          <w:rFonts w:hint="eastAsia"/>
        </w:rPr>
        <w:t>网格化的管理模式  因七年贯通培养的特殊性，必须配置</w:t>
      </w:r>
      <w:r>
        <w:rPr>
          <w:rFonts w:hint="eastAsia"/>
          <w:szCs w:val="21"/>
        </w:rPr>
        <w:t>健全的德育管理体制。因此，学校建立了学校、学部、贯通培养三大主体级别的行政划分，并且针对贯通制基础阶段的培养主体又划分了学生科、年级主任、班主任、贯通团总支、专职宿舍管理员“五位一体”的网格化管理体制，各司其职，有效配合，严格管理，以此保证对七年贯通培养基础教育阶段德育工作的全方位覆盖。</w:t>
      </w:r>
    </w:p>
    <w:p>
      <w:pPr>
        <w:spacing w:line="360" w:lineRule="auto"/>
        <w:ind w:firstLine="420"/>
        <w:rPr>
          <w:szCs w:val="21"/>
        </w:rPr>
      </w:pPr>
      <w:r>
        <w:rPr>
          <w:szCs w:val="21"/>
        </w:rPr>
        <w:t>5</w:t>
      </w:r>
      <w:r>
        <w:rPr>
          <w:rFonts w:hint="eastAsia"/>
          <w:szCs w:val="21"/>
        </w:rPr>
        <w:t>、多元化的评价体系  “七年制贯通培养”归根到底是要培养高端应用型人才，应当以职业为导向，以岗位需求为标准，采用多元化的评价方式，引入多主体参与评价。具体来说，任课教师、班主任、同学、家长委员会成员、顶岗实习指导教师、用人单位等都可以作为评价的主体，学生的学习成绩、学习态度、品德表现、职业能力、职业素养、职业道德、人际关系等都可以作为评价的内容，以给予学生合理全面的评价。</w:t>
      </w:r>
    </w:p>
    <w:p>
      <w:pPr>
        <w:spacing w:line="360" w:lineRule="auto"/>
        <w:ind w:firstLine="420"/>
        <w:rPr>
          <w:szCs w:val="21"/>
        </w:rPr>
      </w:pPr>
      <w:r>
        <w:rPr>
          <w:rFonts w:hint="eastAsia"/>
          <w:szCs w:val="21"/>
        </w:rPr>
        <w:t>总之，七年制贯通培养的德育工作方式应当在尊重学生核心素养特点的基础上，把握核心素养培养目标，采取是开放、全面、多样的方法与途径，形成新型的高端应用型人才培养模式，设计系统化方案，落实成效性强的德育工作内容及方法，从而探索高端教育人才培养的有效路径。</w:t>
      </w:r>
    </w:p>
    <w:p>
      <w:pPr>
        <w:spacing w:line="360" w:lineRule="auto"/>
        <w:ind w:firstLine="422" w:firstLineChars="200"/>
        <w:rPr>
          <w:b/>
          <w:szCs w:val="21"/>
        </w:rPr>
      </w:pPr>
      <w:r>
        <w:rPr>
          <w:rFonts w:hint="eastAsia"/>
          <w:b/>
          <w:szCs w:val="21"/>
        </w:rPr>
        <w:t>参考文献：</w:t>
      </w:r>
    </w:p>
    <w:p>
      <w:pPr>
        <w:spacing w:line="360" w:lineRule="auto"/>
        <w:ind w:left="283" w:hanging="283" w:hangingChars="135"/>
        <w:rPr>
          <w:rFonts w:hint="eastAsia" w:eastAsia="宋体"/>
          <w:szCs w:val="21"/>
          <w:lang w:val="en-US" w:eastAsia="zh-CN"/>
        </w:rPr>
      </w:pPr>
      <w:r>
        <w:rPr>
          <w:szCs w:val="21"/>
        </w:rPr>
        <w:t>[1]</w:t>
      </w:r>
      <w:r>
        <w:rPr>
          <w:rFonts w:hint="eastAsia"/>
          <w:szCs w:val="21"/>
        </w:rPr>
        <w:t xml:space="preserve"> 张炜</w:t>
      </w:r>
      <w:r>
        <w:rPr>
          <w:rFonts w:hint="eastAsia" w:ascii="宋体" w:hAnsi="宋体" w:cs="Arial"/>
          <w:kern w:val="0"/>
          <w:szCs w:val="21"/>
        </w:rPr>
        <w:t>．</w:t>
      </w:r>
      <w:r>
        <w:rPr>
          <w:rFonts w:hint="eastAsia"/>
          <w:szCs w:val="21"/>
        </w:rPr>
        <w:t>高端技术技能人才贯通培养项目学生管理模式探研</w:t>
      </w:r>
      <w:r>
        <w:rPr>
          <w:szCs w:val="21"/>
        </w:rPr>
        <w:t>[J]</w:t>
      </w:r>
      <w:r>
        <w:rPr>
          <w:rFonts w:hint="eastAsia" w:ascii="宋体" w:hAnsi="宋体" w:cs="Arial"/>
          <w:kern w:val="0"/>
          <w:szCs w:val="21"/>
        </w:rPr>
        <w:t>．</w:t>
      </w:r>
      <w:r>
        <w:rPr>
          <w:rFonts w:hint="eastAsia"/>
          <w:szCs w:val="21"/>
        </w:rPr>
        <w:t>北京工业职业学院学报，</w:t>
      </w:r>
      <w:r>
        <w:rPr>
          <w:szCs w:val="21"/>
        </w:rPr>
        <w:t>2016</w:t>
      </w:r>
      <w:r>
        <w:rPr>
          <w:rFonts w:hint="eastAsia"/>
          <w:szCs w:val="21"/>
        </w:rPr>
        <w:t>，</w:t>
      </w:r>
      <w:r>
        <w:rPr>
          <w:szCs w:val="21"/>
        </w:rPr>
        <w:t>15</w:t>
      </w:r>
      <w:r>
        <w:rPr>
          <w:rFonts w:hint="eastAsia"/>
          <w:szCs w:val="21"/>
        </w:rPr>
        <w:t>（</w:t>
      </w:r>
      <w:r>
        <w:rPr>
          <w:szCs w:val="21"/>
        </w:rPr>
        <w:t>3</w:t>
      </w:r>
      <w:r>
        <w:rPr>
          <w:rFonts w:hint="eastAsia"/>
          <w:szCs w:val="21"/>
        </w:rPr>
        <w:t>）：</w:t>
      </w:r>
      <w:r>
        <w:rPr>
          <w:szCs w:val="21"/>
        </w:rPr>
        <w:t>57-59</w:t>
      </w:r>
      <w:r>
        <w:rPr>
          <w:rFonts w:hint="eastAsia"/>
          <w:szCs w:val="21"/>
          <w:lang w:val="en-US" w:eastAsia="zh-CN"/>
        </w:rPr>
        <w:t>.</w:t>
      </w:r>
    </w:p>
    <w:p>
      <w:pPr>
        <w:spacing w:line="360" w:lineRule="auto"/>
        <w:ind w:left="283" w:hanging="283" w:hangingChars="135"/>
        <w:rPr>
          <w:rFonts w:hint="eastAsia" w:eastAsia="宋体"/>
          <w:szCs w:val="21"/>
          <w:lang w:val="en-US" w:eastAsia="zh-CN"/>
        </w:rPr>
      </w:pPr>
      <w:r>
        <w:rPr>
          <w:szCs w:val="21"/>
        </w:rPr>
        <w:t>[2]</w:t>
      </w:r>
      <w:r>
        <w:rPr>
          <w:rFonts w:hint="eastAsia"/>
          <w:szCs w:val="21"/>
        </w:rPr>
        <w:t xml:space="preserve"> 夏飞</w:t>
      </w:r>
      <w:r>
        <w:rPr>
          <w:rFonts w:hint="eastAsia" w:ascii="宋体" w:hAnsi="宋体" w:cs="Arial"/>
          <w:kern w:val="0"/>
          <w:szCs w:val="21"/>
        </w:rPr>
        <w:t>．</w:t>
      </w:r>
      <w:r>
        <w:rPr>
          <w:rFonts w:hint="eastAsia"/>
          <w:szCs w:val="21"/>
        </w:rPr>
        <w:t>高端技术技能人才贯通培养试验项目基础教育阶段学生素养教育体系构建</w:t>
      </w:r>
      <w:r>
        <w:rPr>
          <w:szCs w:val="21"/>
        </w:rPr>
        <w:t>[J]</w:t>
      </w:r>
      <w:r>
        <w:rPr>
          <w:rFonts w:hint="eastAsia" w:ascii="宋体" w:hAnsi="宋体" w:cs="Arial"/>
          <w:kern w:val="0"/>
          <w:szCs w:val="21"/>
        </w:rPr>
        <w:t>．</w:t>
      </w:r>
      <w:r>
        <w:rPr>
          <w:rFonts w:hint="eastAsia"/>
          <w:szCs w:val="21"/>
        </w:rPr>
        <w:t>北京财贸职业学院学报，</w:t>
      </w:r>
      <w:r>
        <w:rPr>
          <w:szCs w:val="21"/>
        </w:rPr>
        <w:t>2016</w:t>
      </w:r>
      <w:r>
        <w:rPr>
          <w:rFonts w:hint="eastAsia"/>
          <w:szCs w:val="21"/>
        </w:rPr>
        <w:t>，</w:t>
      </w:r>
      <w:r>
        <w:rPr>
          <w:szCs w:val="21"/>
        </w:rPr>
        <w:t>32</w:t>
      </w:r>
      <w:r>
        <w:rPr>
          <w:rFonts w:hint="eastAsia"/>
          <w:szCs w:val="21"/>
        </w:rPr>
        <w:t>（</w:t>
      </w:r>
      <w:r>
        <w:rPr>
          <w:szCs w:val="21"/>
        </w:rPr>
        <w:t>3</w:t>
      </w:r>
      <w:r>
        <w:rPr>
          <w:rFonts w:hint="eastAsia"/>
          <w:szCs w:val="21"/>
        </w:rPr>
        <w:t>）：</w:t>
      </w:r>
      <w:r>
        <w:rPr>
          <w:szCs w:val="21"/>
        </w:rPr>
        <w:t>34-38</w:t>
      </w:r>
      <w:r>
        <w:rPr>
          <w:rFonts w:hint="eastAsia"/>
          <w:szCs w:val="21"/>
          <w:lang w:val="en-US" w:eastAsia="zh-CN"/>
        </w:rPr>
        <w:t>.</w:t>
      </w:r>
    </w:p>
    <w:p>
      <w:pPr>
        <w:autoSpaceDE w:val="0"/>
        <w:autoSpaceDN w:val="0"/>
        <w:adjustRightInd w:val="0"/>
        <w:ind w:left="283" w:hanging="283" w:hangingChars="135"/>
        <w:jc w:val="left"/>
        <w:rPr>
          <w:szCs w:val="21"/>
        </w:rPr>
      </w:pPr>
      <w:r>
        <w:rPr>
          <w:szCs w:val="21"/>
        </w:rPr>
        <w:t>[3]</w:t>
      </w:r>
      <w:r>
        <w:rPr>
          <w:rFonts w:hint="eastAsia"/>
          <w:szCs w:val="21"/>
        </w:rPr>
        <w:t xml:space="preserve"> 黄辉</w:t>
      </w:r>
      <w:r>
        <w:rPr>
          <w:rFonts w:hint="eastAsia" w:ascii="宋体" w:hAnsi="宋体" w:cs="Arial"/>
          <w:kern w:val="0"/>
          <w:szCs w:val="21"/>
        </w:rPr>
        <w:t>．</w:t>
      </w:r>
      <w:r>
        <w:rPr>
          <w:rFonts w:hint="eastAsia"/>
          <w:szCs w:val="21"/>
        </w:rPr>
        <w:t>立德树人：现代职业教育的根本任务</w:t>
      </w:r>
      <w:r>
        <w:rPr>
          <w:szCs w:val="21"/>
        </w:rPr>
        <w:t>[J]</w:t>
      </w:r>
      <w:r>
        <w:rPr>
          <w:rFonts w:hint="eastAsia" w:ascii="宋体" w:hAnsi="宋体" w:cs="Arial"/>
          <w:kern w:val="0"/>
          <w:szCs w:val="21"/>
        </w:rPr>
        <w:t>．</w:t>
      </w:r>
      <w:r>
        <w:rPr>
          <w:rFonts w:hint="eastAsia"/>
          <w:szCs w:val="21"/>
        </w:rPr>
        <w:t>中国职业技术教育，</w:t>
      </w:r>
      <w:r>
        <w:rPr>
          <w:szCs w:val="21"/>
        </w:rPr>
        <w:t>2013</w:t>
      </w:r>
      <w:r>
        <w:rPr>
          <w:rFonts w:hint="eastAsia"/>
          <w:szCs w:val="21"/>
          <w:lang w:val="en-US" w:eastAsia="zh-CN"/>
        </w:rPr>
        <w:t>,</w:t>
      </w:r>
      <w:r>
        <w:rPr>
          <w:rFonts w:hint="eastAsia"/>
          <w:szCs w:val="21"/>
        </w:rPr>
        <w:t>（</w:t>
      </w:r>
      <w:r>
        <w:rPr>
          <w:szCs w:val="21"/>
        </w:rPr>
        <w:t>7</w:t>
      </w:r>
      <w:r>
        <w:rPr>
          <w:rFonts w:hint="eastAsia"/>
          <w:szCs w:val="21"/>
        </w:rPr>
        <w:t>）：</w:t>
      </w:r>
      <w:r>
        <w:rPr>
          <w:szCs w:val="21"/>
        </w:rPr>
        <w:t>35-38.</w:t>
      </w:r>
    </w:p>
    <w:p>
      <w:pPr>
        <w:spacing w:line="360" w:lineRule="auto"/>
        <w:ind w:left="283" w:hanging="283" w:hangingChars="135"/>
        <w:rPr>
          <w:rFonts w:hint="eastAsia" w:eastAsia="宋体"/>
          <w:szCs w:val="21"/>
          <w:lang w:val="en-US" w:eastAsia="zh-CN"/>
        </w:rPr>
      </w:pPr>
      <w:r>
        <w:rPr>
          <w:szCs w:val="21"/>
        </w:rPr>
        <w:t>[4]</w:t>
      </w:r>
      <w:r>
        <w:rPr>
          <w:rFonts w:hint="eastAsia"/>
          <w:szCs w:val="21"/>
        </w:rPr>
        <w:t xml:space="preserve"> 郑航</w:t>
      </w:r>
      <w:r>
        <w:rPr>
          <w:rFonts w:hint="eastAsia" w:ascii="宋体" w:hAnsi="宋体" w:cs="Arial"/>
          <w:kern w:val="0"/>
          <w:szCs w:val="21"/>
        </w:rPr>
        <w:t>．</w:t>
      </w:r>
      <w:r>
        <w:rPr>
          <w:rFonts w:hint="eastAsia"/>
          <w:szCs w:val="21"/>
        </w:rPr>
        <w:t>美国社会文化变迁与中小学道德教育</w:t>
      </w:r>
      <w:r>
        <w:rPr>
          <w:szCs w:val="21"/>
        </w:rPr>
        <w:t xml:space="preserve"> [J]</w:t>
      </w:r>
      <w:r>
        <w:rPr>
          <w:rFonts w:hint="eastAsia" w:ascii="宋体" w:hAnsi="宋体" w:cs="Arial"/>
          <w:kern w:val="0"/>
          <w:szCs w:val="21"/>
        </w:rPr>
        <w:t>．</w:t>
      </w:r>
      <w:r>
        <w:rPr>
          <w:rFonts w:hint="eastAsia"/>
          <w:szCs w:val="21"/>
        </w:rPr>
        <w:t>外国中小学教育，</w:t>
      </w:r>
      <w:r>
        <w:rPr>
          <w:szCs w:val="21"/>
        </w:rPr>
        <w:t>2001</w:t>
      </w:r>
      <w:r>
        <w:rPr>
          <w:rFonts w:hint="eastAsia"/>
          <w:szCs w:val="21"/>
          <w:lang w:val="en-US" w:eastAsia="zh-CN"/>
        </w:rPr>
        <w:t>,</w:t>
      </w:r>
      <w:r>
        <w:rPr>
          <w:rFonts w:hint="eastAsia"/>
          <w:szCs w:val="21"/>
        </w:rPr>
        <w:t>（</w:t>
      </w:r>
      <w:r>
        <w:rPr>
          <w:szCs w:val="21"/>
        </w:rPr>
        <w:t>2</w:t>
      </w:r>
      <w:r>
        <w:rPr>
          <w:rFonts w:hint="eastAsia"/>
          <w:szCs w:val="21"/>
        </w:rPr>
        <w:t>）：</w:t>
      </w:r>
      <w:r>
        <w:rPr>
          <w:szCs w:val="21"/>
        </w:rPr>
        <w:t>12-15</w:t>
      </w:r>
      <w:r>
        <w:rPr>
          <w:rFonts w:hint="eastAsia"/>
          <w:szCs w:val="21"/>
          <w:lang w:val="en-US" w:eastAsia="zh-CN"/>
        </w:rPr>
        <w:t>.</w:t>
      </w:r>
    </w:p>
    <w:p>
      <w:pPr>
        <w:spacing w:line="360" w:lineRule="auto"/>
        <w:ind w:left="283" w:hanging="283" w:hangingChars="135"/>
        <w:rPr>
          <w:rFonts w:hint="eastAsia" w:eastAsia="宋体"/>
          <w:szCs w:val="21"/>
          <w:lang w:val="en-US" w:eastAsia="zh-CN"/>
        </w:rPr>
      </w:pPr>
      <w:r>
        <w:rPr>
          <w:szCs w:val="21"/>
        </w:rPr>
        <w:t>[5]</w:t>
      </w:r>
      <w:r>
        <w:rPr>
          <w:rFonts w:hint="eastAsia"/>
          <w:szCs w:val="21"/>
        </w:rPr>
        <w:t xml:space="preserve"> 刘兰明</w:t>
      </w:r>
      <w:r>
        <w:rPr>
          <w:rFonts w:hint="eastAsia" w:ascii="宋体" w:hAnsi="宋体" w:cs="Arial"/>
          <w:kern w:val="0"/>
          <w:szCs w:val="21"/>
        </w:rPr>
        <w:t>．</w:t>
      </w:r>
      <w:r>
        <w:rPr>
          <w:rFonts w:hint="eastAsia"/>
          <w:szCs w:val="21"/>
        </w:rPr>
        <w:t>职业基本素养</w:t>
      </w:r>
      <w:r>
        <w:rPr>
          <w:szCs w:val="21"/>
        </w:rPr>
        <w:t>[M]</w:t>
      </w:r>
      <w:r>
        <w:rPr>
          <w:rFonts w:hint="eastAsia" w:ascii="宋体" w:hAnsi="宋体" w:cs="Arial"/>
          <w:kern w:val="0"/>
          <w:szCs w:val="21"/>
        </w:rPr>
        <w:t>．</w:t>
      </w:r>
      <w:r>
        <w:rPr>
          <w:rFonts w:hint="eastAsia"/>
          <w:szCs w:val="21"/>
        </w:rPr>
        <w:t>北京</w:t>
      </w:r>
      <w:r>
        <w:rPr>
          <w:szCs w:val="21"/>
        </w:rPr>
        <w:t>:</w:t>
      </w:r>
      <w:r>
        <w:rPr>
          <w:rFonts w:hint="eastAsia"/>
          <w:szCs w:val="21"/>
        </w:rPr>
        <w:t xml:space="preserve"> 高等教育出版社，</w:t>
      </w:r>
      <w:r>
        <w:rPr>
          <w:szCs w:val="21"/>
        </w:rPr>
        <w:t>2009</w:t>
      </w:r>
      <w:r>
        <w:rPr>
          <w:rFonts w:hint="eastAsia"/>
          <w:szCs w:val="21"/>
          <w:lang w:val="en-US" w:eastAsia="zh-CN"/>
        </w:rPr>
        <w:t>:45.</w:t>
      </w:r>
    </w:p>
    <w:p>
      <w:pPr>
        <w:autoSpaceDE w:val="0"/>
        <w:autoSpaceDN w:val="0"/>
        <w:adjustRightInd w:val="0"/>
        <w:ind w:left="283" w:hanging="283" w:hangingChars="135"/>
        <w:jc w:val="left"/>
        <w:rPr>
          <w:szCs w:val="21"/>
        </w:rPr>
      </w:pPr>
      <w:r>
        <w:rPr>
          <w:szCs w:val="21"/>
        </w:rPr>
        <w:t>[6]</w:t>
      </w:r>
      <w:r>
        <w:rPr>
          <w:rFonts w:hint="eastAsia"/>
          <w:szCs w:val="21"/>
        </w:rPr>
        <w:t xml:space="preserve"> 张金顺</w:t>
      </w:r>
      <w:r>
        <w:rPr>
          <w:rFonts w:hint="eastAsia" w:ascii="宋体" w:hAnsi="宋体" w:cs="Arial"/>
          <w:kern w:val="0"/>
          <w:szCs w:val="21"/>
        </w:rPr>
        <w:t>．</w:t>
      </w:r>
      <w:r>
        <w:rPr>
          <w:rFonts w:hint="eastAsia"/>
          <w:szCs w:val="21"/>
        </w:rPr>
        <w:t>国外德育理论研究的新进展</w:t>
      </w:r>
      <w:r>
        <w:rPr>
          <w:szCs w:val="21"/>
        </w:rPr>
        <w:t>[J]</w:t>
      </w:r>
      <w:r>
        <w:rPr>
          <w:rFonts w:hint="eastAsia" w:ascii="宋体" w:hAnsi="宋体" w:cs="Arial"/>
          <w:kern w:val="0"/>
          <w:szCs w:val="21"/>
        </w:rPr>
        <w:t>．</w:t>
      </w:r>
      <w:r>
        <w:rPr>
          <w:rFonts w:hint="eastAsia"/>
          <w:szCs w:val="21"/>
        </w:rPr>
        <w:t>广西民族大学学报</w:t>
      </w:r>
      <w:r>
        <w:rPr>
          <w:rFonts w:hint="eastAsia"/>
          <w:szCs w:val="21"/>
          <w:lang w:val="en-US" w:eastAsia="zh-CN"/>
        </w:rPr>
        <w:t>:</w:t>
      </w:r>
      <w:r>
        <w:rPr>
          <w:rFonts w:hint="eastAsia"/>
          <w:szCs w:val="21"/>
        </w:rPr>
        <w:t>哲学社会科学版，</w:t>
      </w:r>
      <w:r>
        <w:rPr>
          <w:szCs w:val="21"/>
        </w:rPr>
        <w:t xml:space="preserve"> 2006</w:t>
      </w:r>
      <w:r>
        <w:rPr>
          <w:rFonts w:hint="eastAsia"/>
          <w:szCs w:val="21"/>
        </w:rPr>
        <w:t>，</w:t>
      </w:r>
      <w:r>
        <w:rPr>
          <w:szCs w:val="21"/>
        </w:rPr>
        <w:t>28</w:t>
      </w:r>
      <w:r>
        <w:rPr>
          <w:rFonts w:hint="eastAsia"/>
          <w:szCs w:val="21"/>
        </w:rPr>
        <w:t>（</w:t>
      </w:r>
      <w:r>
        <w:rPr>
          <w:szCs w:val="21"/>
        </w:rPr>
        <w:t>6</w:t>
      </w:r>
      <w:r>
        <w:rPr>
          <w:rFonts w:hint="eastAsia"/>
          <w:szCs w:val="21"/>
        </w:rPr>
        <w:t>）：</w:t>
      </w:r>
      <w:r>
        <w:rPr>
          <w:szCs w:val="21"/>
        </w:rPr>
        <w:t>172-175.</w:t>
      </w:r>
    </w:p>
    <w:p>
      <w:pPr>
        <w:spacing w:line="360" w:lineRule="auto"/>
      </w:pPr>
    </w:p>
    <w:p>
      <w:pPr>
        <w:spacing w:line="360" w:lineRule="auto"/>
      </w:pPr>
    </w:p>
    <w:p>
      <w:pPr>
        <w:spacing w:line="360" w:lineRule="auto"/>
      </w:pPr>
    </w:p>
    <w:p>
      <w:pPr>
        <w:spacing w:line="360" w:lineRule="auto"/>
      </w:pPr>
    </w:p>
    <w:p>
      <w:pPr>
        <w:spacing w:line="360" w:lineRule="auto"/>
        <w:rPr>
          <w:rFonts w:hint="eastAsia"/>
        </w:rPr>
      </w:pPr>
    </w:p>
    <w:p>
      <w:pPr>
        <w:spacing w:line="380" w:lineRule="atLeast"/>
        <w:jc w:val="center"/>
        <w:rPr>
          <w:kern w:val="0"/>
          <w:szCs w:val="21"/>
        </w:rPr>
      </w:pPr>
      <w:r>
        <w:rPr>
          <w:kern w:val="0"/>
          <w:szCs w:val="21"/>
        </w:rPr>
        <w:t>A Study on the Characteristics of Student</w:t>
      </w:r>
      <w:r>
        <w:rPr>
          <w:rFonts w:hint="eastAsia"/>
          <w:kern w:val="0"/>
          <w:szCs w:val="21"/>
        </w:rPr>
        <w:t>s</w:t>
      </w:r>
      <w:r>
        <w:rPr>
          <w:kern w:val="0"/>
          <w:szCs w:val="21"/>
        </w:rPr>
        <w:t xml:space="preserve">’ Core Competence and the Approach of Moral Education </w:t>
      </w:r>
      <w:r>
        <w:rPr>
          <w:rFonts w:hint="eastAsia"/>
          <w:kern w:val="0"/>
          <w:szCs w:val="21"/>
        </w:rPr>
        <w:t>in the Basic Education Period of</w:t>
      </w:r>
      <w:r>
        <w:rPr>
          <w:kern w:val="0"/>
          <w:szCs w:val="21"/>
        </w:rPr>
        <w:t xml:space="preserve"> the </w:t>
      </w:r>
      <w:r>
        <w:rPr>
          <w:rFonts w:hint="eastAsia"/>
          <w:kern w:val="0"/>
          <w:szCs w:val="21"/>
        </w:rPr>
        <w:t xml:space="preserve">Seven-Year </w:t>
      </w:r>
      <w:r>
        <w:rPr>
          <w:kern w:val="0"/>
          <w:szCs w:val="21"/>
        </w:rPr>
        <w:t>Run-through Cultivation</w:t>
      </w:r>
    </w:p>
    <w:p>
      <w:pPr>
        <w:spacing w:line="380" w:lineRule="atLeast"/>
        <w:jc w:val="center"/>
        <w:rPr>
          <w:kern w:val="0"/>
          <w:szCs w:val="21"/>
        </w:rPr>
      </w:pPr>
      <w:r>
        <w:rPr>
          <w:kern w:val="0"/>
          <w:szCs w:val="21"/>
        </w:rPr>
        <w:t>——</w:t>
      </w:r>
      <w:r>
        <w:rPr>
          <w:rFonts w:hint="eastAsia"/>
          <w:kern w:val="0"/>
          <w:szCs w:val="21"/>
        </w:rPr>
        <w:t xml:space="preserve">Taking the Education Run-through Program in BCU as </w:t>
      </w:r>
      <w:r>
        <w:rPr>
          <w:kern w:val="0"/>
          <w:szCs w:val="21"/>
        </w:rPr>
        <w:t>an</w:t>
      </w:r>
      <w:r>
        <w:rPr>
          <w:rFonts w:hint="eastAsia"/>
          <w:kern w:val="0"/>
          <w:szCs w:val="21"/>
        </w:rPr>
        <w:t xml:space="preserve"> Example</w:t>
      </w:r>
    </w:p>
    <w:p>
      <w:pPr>
        <w:spacing w:line="360" w:lineRule="auto"/>
        <w:ind w:left="360"/>
        <w:jc w:val="center"/>
      </w:pPr>
      <w:r>
        <w:t>ZHAO Kun, ZHANG Yalei</w:t>
      </w:r>
    </w:p>
    <w:p>
      <w:pPr>
        <w:spacing w:line="360" w:lineRule="auto"/>
        <w:ind w:left="360"/>
        <w:jc w:val="center"/>
        <w:rPr>
          <w:rFonts w:hAnsi="宋体"/>
          <w:kern w:val="0"/>
          <w:szCs w:val="21"/>
        </w:rPr>
      </w:pPr>
      <w:r>
        <w:rPr>
          <w:rFonts w:hAnsi="宋体"/>
          <w:kern w:val="0"/>
          <w:szCs w:val="21"/>
        </w:rPr>
        <w:t>（</w:t>
      </w:r>
      <w:r>
        <w:rPr>
          <w:kern w:val="0"/>
          <w:szCs w:val="21"/>
        </w:rPr>
        <w:t>Beijing City University, Beijing</w:t>
      </w:r>
      <w:r>
        <w:rPr>
          <w:rFonts w:hint="eastAsia"/>
          <w:kern w:val="0"/>
          <w:szCs w:val="21"/>
        </w:rPr>
        <w:t xml:space="preserve"> </w:t>
      </w:r>
      <w:r>
        <w:rPr>
          <w:kern w:val="0"/>
          <w:szCs w:val="21"/>
        </w:rPr>
        <w:t>101300, China</w:t>
      </w:r>
      <w:r>
        <w:rPr>
          <w:rFonts w:hAnsi="宋体"/>
          <w:kern w:val="0"/>
          <w:szCs w:val="21"/>
        </w:rPr>
        <w:t>）</w:t>
      </w:r>
    </w:p>
    <w:p>
      <w:pPr>
        <w:spacing w:line="360" w:lineRule="auto"/>
        <w:ind w:left="360"/>
        <w:jc w:val="center"/>
        <w:rPr>
          <w:rFonts w:hint="eastAsia"/>
        </w:rPr>
      </w:pPr>
    </w:p>
    <w:p>
      <w:pPr>
        <w:spacing w:line="380" w:lineRule="atLeast"/>
        <w:ind w:left="357" w:firstLine="422" w:firstLineChars="200"/>
      </w:pPr>
      <w:r>
        <w:rPr>
          <w:b/>
          <w:bCs/>
        </w:rPr>
        <w:t>Abstract:</w:t>
      </w:r>
      <w:r>
        <w:rPr>
          <w:szCs w:val="21"/>
          <w:shd w:val="clear" w:color="auto" w:fill="FFFFFF"/>
        </w:rPr>
        <w:t xml:space="preserve"> I</w:t>
      </w:r>
      <w:r>
        <w:rPr>
          <w:bCs/>
        </w:rPr>
        <w:t>n order to develop the students' ideological and moral qualities and professional ethics</w:t>
      </w:r>
      <w:r>
        <w:rPr>
          <w:rFonts w:hint="eastAsia"/>
          <w:bCs/>
        </w:rPr>
        <w:t xml:space="preserve"> in </w:t>
      </w:r>
      <w:r>
        <w:rPr>
          <w:bCs/>
        </w:rPr>
        <w:t>the seven-year</w:t>
      </w:r>
      <w:r>
        <w:rPr>
          <w:rFonts w:hint="eastAsia"/>
          <w:bCs/>
        </w:rPr>
        <w:t xml:space="preserve"> </w:t>
      </w:r>
      <w:r>
        <w:rPr>
          <w:bCs/>
        </w:rPr>
        <w:t>run-through cultivation</w:t>
      </w:r>
      <w:r>
        <w:rPr>
          <w:rFonts w:hint="eastAsia"/>
          <w:bCs/>
        </w:rPr>
        <w:t xml:space="preserve"> program</w:t>
      </w:r>
      <w:r>
        <w:rPr>
          <w:bCs/>
        </w:rPr>
        <w:t xml:space="preserve">, Beijing City University has conducted </w:t>
      </w:r>
      <w:r>
        <w:rPr>
          <w:rFonts w:hint="eastAsia"/>
          <w:bCs/>
        </w:rPr>
        <w:t xml:space="preserve">a </w:t>
      </w:r>
      <w:r>
        <w:rPr>
          <w:bCs/>
        </w:rPr>
        <w:t>comprehensive research on the students of Preschool Education and Primary Education, which aims to elaborate the basic situation analysis on the students</w:t>
      </w:r>
      <w:r>
        <w:rPr>
          <w:rFonts w:hint="eastAsia"/>
          <w:bCs/>
        </w:rPr>
        <w:t>.</w:t>
      </w:r>
      <w:r>
        <w:rPr>
          <w:bCs/>
        </w:rPr>
        <w:t xml:space="preserve"> </w:t>
      </w:r>
      <w:r>
        <w:rPr>
          <w:rFonts w:hint="eastAsia"/>
          <w:bCs/>
        </w:rPr>
        <w:t>After</w:t>
      </w:r>
      <w:r>
        <w:rPr>
          <w:bCs/>
        </w:rPr>
        <w:t xml:space="preserve"> </w:t>
      </w:r>
      <w:r>
        <w:rPr>
          <w:rFonts w:hint="eastAsia"/>
          <w:bCs/>
        </w:rPr>
        <w:t xml:space="preserve">carrying out </w:t>
      </w:r>
      <w:r>
        <w:rPr>
          <w:bCs/>
        </w:rPr>
        <w:t xml:space="preserve">the moral education </w:t>
      </w:r>
      <w:r>
        <w:rPr>
          <w:rFonts w:hint="eastAsia"/>
          <w:bCs/>
        </w:rPr>
        <w:t xml:space="preserve">programs </w:t>
      </w:r>
      <w:r>
        <w:rPr>
          <w:bCs/>
        </w:rPr>
        <w:t>of ideal and faith, socialist core</w:t>
      </w:r>
      <w:r>
        <w:rPr>
          <w:rFonts w:hint="eastAsia"/>
          <w:bCs/>
        </w:rPr>
        <w:t xml:space="preserve"> values</w:t>
      </w:r>
      <w:r>
        <w:rPr>
          <w:bCs/>
        </w:rPr>
        <w:t>,</w:t>
      </w:r>
      <w:r>
        <w:t xml:space="preserve"> </w:t>
      </w:r>
      <w:r>
        <w:rPr>
          <w:bCs/>
        </w:rPr>
        <w:t>Chinese excellent traditional culture, mental health</w:t>
      </w:r>
      <w:r>
        <w:rPr>
          <w:rFonts w:hint="eastAsia"/>
          <w:bCs/>
        </w:rPr>
        <w:t>,</w:t>
      </w:r>
      <w:r>
        <w:rPr>
          <w:bCs/>
        </w:rPr>
        <w:t xml:space="preserve"> and ecological civilization</w:t>
      </w:r>
      <w:r>
        <w:rPr>
          <w:rFonts w:hint="eastAsia"/>
          <w:bCs/>
        </w:rPr>
        <w:t xml:space="preserve">, </w:t>
      </w:r>
      <w:r>
        <w:rPr>
          <w:bCs/>
        </w:rPr>
        <w:t xml:space="preserve">Beijing City University proceeds to </w:t>
      </w:r>
      <w:r>
        <w:rPr>
          <w:rFonts w:hint="eastAsia"/>
          <w:bCs/>
        </w:rPr>
        <w:t>a</w:t>
      </w:r>
      <w:r>
        <w:rPr>
          <w:bCs/>
        </w:rPr>
        <w:t xml:space="preserve">nalyze the core quality </w:t>
      </w:r>
      <w:r>
        <w:rPr>
          <w:rFonts w:hint="eastAsia"/>
          <w:bCs/>
        </w:rPr>
        <w:t xml:space="preserve">and </w:t>
      </w:r>
      <w:r>
        <w:rPr>
          <w:bCs/>
        </w:rPr>
        <w:t>characteristics</w:t>
      </w:r>
      <w:r>
        <w:rPr>
          <w:rFonts w:hint="eastAsia"/>
          <w:bCs/>
        </w:rPr>
        <w:t xml:space="preserve"> </w:t>
      </w:r>
      <w:r>
        <w:rPr>
          <w:bCs/>
        </w:rPr>
        <w:t>in the process of moral education,</w:t>
      </w:r>
      <w:r>
        <w:rPr>
          <w:rFonts w:hint="eastAsia"/>
          <w:bCs/>
        </w:rPr>
        <w:t xml:space="preserve"> and</w:t>
      </w:r>
      <w:r>
        <w:rPr>
          <w:bCs/>
        </w:rPr>
        <w:t xml:space="preserve"> puts forward preliminary opinions</w:t>
      </w:r>
      <w:r>
        <w:rPr>
          <w:rFonts w:hint="eastAsia"/>
          <w:bCs/>
        </w:rPr>
        <w:t xml:space="preserve"> for the </w:t>
      </w:r>
      <w:r>
        <w:rPr>
          <w:bCs/>
        </w:rPr>
        <w:t xml:space="preserve">effective way </w:t>
      </w:r>
      <w:r>
        <w:rPr>
          <w:rFonts w:hint="eastAsia"/>
          <w:bCs/>
        </w:rPr>
        <w:t>of</w:t>
      </w:r>
      <w:r>
        <w:rPr>
          <w:bCs/>
        </w:rPr>
        <w:t xml:space="preserve"> moral education work</w:t>
      </w:r>
      <w:r>
        <w:rPr>
          <w:rFonts w:hint="eastAsia"/>
          <w:bCs/>
        </w:rPr>
        <w:t>, and</w:t>
      </w:r>
      <w:r>
        <w:rPr>
          <w:bCs/>
        </w:rPr>
        <w:t xml:space="preserve"> provide</w:t>
      </w:r>
      <w:r>
        <w:rPr>
          <w:rFonts w:hint="eastAsia"/>
          <w:bCs/>
        </w:rPr>
        <w:t>s</w:t>
      </w:r>
      <w:r>
        <w:rPr>
          <w:bCs/>
        </w:rPr>
        <w:t xml:space="preserve"> a scientific basis for the moral education system</w:t>
      </w:r>
      <w:r>
        <w:rPr>
          <w:rFonts w:hint="eastAsia"/>
          <w:bCs/>
        </w:rPr>
        <w:t xml:space="preserve"> of the </w:t>
      </w:r>
      <w:r>
        <w:rPr>
          <w:bCs/>
        </w:rPr>
        <w:t>seven-year</w:t>
      </w:r>
      <w:r>
        <w:rPr>
          <w:rFonts w:hint="eastAsia"/>
          <w:bCs/>
        </w:rPr>
        <w:t xml:space="preserve"> </w:t>
      </w:r>
      <w:r>
        <w:rPr>
          <w:bCs/>
        </w:rPr>
        <w:t>run-through cultivation</w:t>
      </w:r>
      <w:r>
        <w:rPr>
          <w:rFonts w:hint="eastAsia"/>
          <w:bCs/>
        </w:rPr>
        <w:t xml:space="preserve"> program</w:t>
      </w:r>
      <w:r>
        <w:rPr>
          <w:bCs/>
        </w:rPr>
        <w:t>.</w:t>
      </w:r>
    </w:p>
    <w:p>
      <w:pPr>
        <w:spacing w:line="380" w:lineRule="atLeast"/>
        <w:ind w:left="357"/>
        <w:rPr>
          <w:bCs/>
        </w:rPr>
      </w:pPr>
      <w:r>
        <w:rPr>
          <w:b/>
          <w:bCs/>
        </w:rPr>
        <w:t>Key words</w:t>
      </w:r>
      <w:r>
        <w:rPr>
          <w:rFonts w:hint="eastAsia"/>
          <w:b/>
          <w:bCs/>
        </w:rPr>
        <w:t>：</w:t>
      </w:r>
      <w:r>
        <w:rPr>
          <w:bCs/>
        </w:rPr>
        <w:t xml:space="preserve">seven-year run-through cultivation mode; basic education </w:t>
      </w:r>
      <w:r>
        <w:rPr>
          <w:rFonts w:hint="eastAsia"/>
          <w:bCs/>
        </w:rPr>
        <w:t>period</w:t>
      </w:r>
      <w:r>
        <w:rPr>
          <w:bCs/>
        </w:rPr>
        <w:t>; moral education; core competence</w:t>
      </w:r>
    </w:p>
    <w:p>
      <w:pPr>
        <w:spacing w:line="380" w:lineRule="atLeast"/>
        <w:ind w:left="357"/>
        <w:jc w:val="right"/>
        <w:rPr>
          <w:rFonts w:hint="eastAsia" w:eastAsia="宋体"/>
          <w:bCs/>
          <w:lang w:eastAsia="zh-CN"/>
        </w:rPr>
      </w:pPr>
      <w:r>
        <w:rPr>
          <w:rFonts w:hint="eastAsia"/>
          <w:bCs/>
          <w:lang w:eastAsia="zh-CN"/>
        </w:rPr>
        <w:t>（责任编辑：田荣荣）</w:t>
      </w:r>
      <w:bookmarkStart w:id="0" w:name="_GoBack"/>
      <w:bookmarkEnd w:id="0"/>
    </w:p>
    <w:sectPr>
      <w:footerReference r:id="rId6" w:type="first"/>
      <w:headerReference r:id="rId4" w:type="default"/>
      <w:footerReference r:id="rId5"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HeitiStd-Regular">
    <w:altName w:val="方正舒体"/>
    <w:panose1 w:val="00000000000000000000"/>
    <w:charset w:val="86"/>
    <w:family w:val="auto"/>
    <w:pitch w:val="default"/>
    <w:sig w:usb0="00000000" w:usb1="00000000" w:usb2="00000010" w:usb3="00000000" w:csb0="00040000" w:csb1="00000000"/>
  </w:font>
  <w:font w:name="DY124+ZCIG3g-124">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3790"/>
      <w:docPartObj>
        <w:docPartGallery w:val="autotext"/>
      </w:docPartObj>
    </w:sdtPr>
    <w:sdtContent>
      <w:p>
        <w:pPr>
          <w:pStyle w:val="6"/>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rPr>
          <w:sz w:val="18"/>
          <w:szCs w:val="18"/>
        </w:rPr>
      </w:pPr>
      <w:r>
        <w:rPr>
          <w:rStyle w:val="12"/>
        </w:rPr>
        <w:footnoteRef/>
      </w:r>
      <w:r>
        <w:rPr>
          <w:rFonts w:hint="eastAsia"/>
          <w:sz w:val="18"/>
          <w:szCs w:val="18"/>
        </w:rPr>
        <w:t>收稿日期： 2018年</w:t>
      </w:r>
      <w:r>
        <w:rPr>
          <w:rFonts w:hint="eastAsia"/>
          <w:sz w:val="18"/>
          <w:szCs w:val="18"/>
          <w:lang w:val="en-US" w:eastAsia="zh-CN"/>
        </w:rPr>
        <w:t>0</w:t>
      </w:r>
      <w:r>
        <w:rPr>
          <w:rFonts w:hint="eastAsia"/>
          <w:sz w:val="18"/>
          <w:szCs w:val="18"/>
        </w:rPr>
        <w:t>4月18日</w:t>
      </w:r>
    </w:p>
    <w:p>
      <w:pPr>
        <w:rPr>
          <w:sz w:val="18"/>
          <w:szCs w:val="18"/>
        </w:rPr>
      </w:pPr>
      <w:r>
        <w:rPr>
          <w:sz w:val="18"/>
          <w:szCs w:val="18"/>
        </w:rPr>
        <w:t>作者简介：</w:t>
      </w:r>
      <w:r>
        <w:rPr>
          <w:rFonts w:hint="eastAsia"/>
          <w:sz w:val="18"/>
          <w:szCs w:val="18"/>
        </w:rPr>
        <w:t>赵坤（1984），女，河北</w:t>
      </w:r>
      <w:r>
        <w:rPr>
          <w:rFonts w:hint="eastAsia"/>
          <w:sz w:val="18"/>
          <w:szCs w:val="18"/>
          <w:lang w:eastAsia="zh-CN"/>
        </w:rPr>
        <w:t>人</w:t>
      </w:r>
      <w:r>
        <w:rPr>
          <w:rFonts w:hint="eastAsia"/>
          <w:sz w:val="18"/>
          <w:szCs w:val="18"/>
        </w:rPr>
        <w:t>，讲师，硕士研究生，教育管理与职业教育。</w:t>
      </w:r>
    </w:p>
    <w:p>
      <w:pPr>
        <w:ind w:firstLine="849" w:firstLineChars="472"/>
        <w:rPr>
          <w:sz w:val="18"/>
          <w:szCs w:val="18"/>
        </w:rPr>
      </w:pPr>
      <w:r>
        <w:rPr>
          <w:rFonts w:hint="eastAsia"/>
          <w:sz w:val="18"/>
          <w:szCs w:val="18"/>
        </w:rPr>
        <w:t>张亚蕾（</w:t>
      </w:r>
      <w:r>
        <w:rPr>
          <w:sz w:val="18"/>
          <w:szCs w:val="18"/>
        </w:rPr>
        <w:t>1983</w:t>
      </w:r>
      <w:r>
        <w:rPr>
          <w:rFonts w:hint="eastAsia"/>
          <w:sz w:val="18"/>
          <w:szCs w:val="18"/>
        </w:rPr>
        <w:t>），女，河南</w:t>
      </w:r>
      <w:r>
        <w:rPr>
          <w:rFonts w:hint="eastAsia"/>
          <w:sz w:val="18"/>
          <w:szCs w:val="18"/>
          <w:lang w:eastAsia="zh-CN"/>
        </w:rPr>
        <w:t>人</w:t>
      </w:r>
      <w:r>
        <w:rPr>
          <w:rFonts w:hint="eastAsia"/>
          <w:sz w:val="18"/>
          <w:szCs w:val="18"/>
        </w:rPr>
        <w:t>，讲师，硕士研究生，教育心理学。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B28"/>
    <w:multiLevelType w:val="multilevel"/>
    <w:tmpl w:val="01320B28"/>
    <w:lvl w:ilvl="0" w:tentative="0">
      <w:start w:val="2"/>
      <w:numFmt w:val="japaneseCounting"/>
      <w:lvlText w:val="%1、"/>
      <w:lvlJc w:val="left"/>
      <w:pPr>
        <w:ind w:left="936" w:hanging="510"/>
      </w:pPr>
      <w:rPr>
        <w:rFonts w:hint="default"/>
        <w:b/>
        <w:sz w:val="21"/>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33AB7780"/>
    <w:multiLevelType w:val="multilevel"/>
    <w:tmpl w:val="33AB7780"/>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10ED"/>
    <w:rsid w:val="0000339B"/>
    <w:rsid w:val="00004CF6"/>
    <w:rsid w:val="00007522"/>
    <w:rsid w:val="000128C2"/>
    <w:rsid w:val="000155ED"/>
    <w:rsid w:val="00015635"/>
    <w:rsid w:val="00015D91"/>
    <w:rsid w:val="00020665"/>
    <w:rsid w:val="00024D54"/>
    <w:rsid w:val="0002506A"/>
    <w:rsid w:val="00027297"/>
    <w:rsid w:val="00027827"/>
    <w:rsid w:val="00027CEA"/>
    <w:rsid w:val="00031A46"/>
    <w:rsid w:val="00033A49"/>
    <w:rsid w:val="00036636"/>
    <w:rsid w:val="00041C66"/>
    <w:rsid w:val="000456A8"/>
    <w:rsid w:val="000475E1"/>
    <w:rsid w:val="000528CF"/>
    <w:rsid w:val="00053155"/>
    <w:rsid w:val="00054C16"/>
    <w:rsid w:val="000624EC"/>
    <w:rsid w:val="00063D53"/>
    <w:rsid w:val="00065CCC"/>
    <w:rsid w:val="000755DE"/>
    <w:rsid w:val="000759AB"/>
    <w:rsid w:val="00084615"/>
    <w:rsid w:val="00084D34"/>
    <w:rsid w:val="00085D56"/>
    <w:rsid w:val="00091AEF"/>
    <w:rsid w:val="000937E0"/>
    <w:rsid w:val="00095907"/>
    <w:rsid w:val="00097E0F"/>
    <w:rsid w:val="000A021C"/>
    <w:rsid w:val="000A6B2D"/>
    <w:rsid w:val="000B0486"/>
    <w:rsid w:val="000B2005"/>
    <w:rsid w:val="000B2868"/>
    <w:rsid w:val="000B345A"/>
    <w:rsid w:val="000C158A"/>
    <w:rsid w:val="000C4D3D"/>
    <w:rsid w:val="000C6F8C"/>
    <w:rsid w:val="000C7FDB"/>
    <w:rsid w:val="000D0ADE"/>
    <w:rsid w:val="000D1BE1"/>
    <w:rsid w:val="000E48D8"/>
    <w:rsid w:val="000E4B69"/>
    <w:rsid w:val="000F0B15"/>
    <w:rsid w:val="000F5DD8"/>
    <w:rsid w:val="00100BE6"/>
    <w:rsid w:val="0010699D"/>
    <w:rsid w:val="00107E1B"/>
    <w:rsid w:val="00112F81"/>
    <w:rsid w:val="00115020"/>
    <w:rsid w:val="00116280"/>
    <w:rsid w:val="00121439"/>
    <w:rsid w:val="001224A1"/>
    <w:rsid w:val="001234DE"/>
    <w:rsid w:val="001245FF"/>
    <w:rsid w:val="00127A16"/>
    <w:rsid w:val="001305CF"/>
    <w:rsid w:val="001361DF"/>
    <w:rsid w:val="00140FDB"/>
    <w:rsid w:val="00144AA8"/>
    <w:rsid w:val="00144D12"/>
    <w:rsid w:val="00144F49"/>
    <w:rsid w:val="001607BC"/>
    <w:rsid w:val="00170A53"/>
    <w:rsid w:val="00175A68"/>
    <w:rsid w:val="00175B82"/>
    <w:rsid w:val="001769F3"/>
    <w:rsid w:val="001771CE"/>
    <w:rsid w:val="001864C9"/>
    <w:rsid w:val="001921A7"/>
    <w:rsid w:val="001946BE"/>
    <w:rsid w:val="001A1AA2"/>
    <w:rsid w:val="001B035E"/>
    <w:rsid w:val="001B1BE7"/>
    <w:rsid w:val="001B6911"/>
    <w:rsid w:val="001C0F03"/>
    <w:rsid w:val="001C5BEB"/>
    <w:rsid w:val="001D12F2"/>
    <w:rsid w:val="001D2534"/>
    <w:rsid w:val="001D2B80"/>
    <w:rsid w:val="001D7B65"/>
    <w:rsid w:val="001F27A6"/>
    <w:rsid w:val="001F7E2A"/>
    <w:rsid w:val="00201711"/>
    <w:rsid w:val="00210A93"/>
    <w:rsid w:val="00213518"/>
    <w:rsid w:val="00217405"/>
    <w:rsid w:val="00220536"/>
    <w:rsid w:val="00221390"/>
    <w:rsid w:val="002224EF"/>
    <w:rsid w:val="00222998"/>
    <w:rsid w:val="002260EE"/>
    <w:rsid w:val="002356CE"/>
    <w:rsid w:val="00243B70"/>
    <w:rsid w:val="0024579F"/>
    <w:rsid w:val="002505D2"/>
    <w:rsid w:val="00254D58"/>
    <w:rsid w:val="002553A8"/>
    <w:rsid w:val="002621A4"/>
    <w:rsid w:val="00263611"/>
    <w:rsid w:val="00272685"/>
    <w:rsid w:val="00272732"/>
    <w:rsid w:val="00276703"/>
    <w:rsid w:val="002800E0"/>
    <w:rsid w:val="00281B73"/>
    <w:rsid w:val="00284EFC"/>
    <w:rsid w:val="002913C6"/>
    <w:rsid w:val="0029436A"/>
    <w:rsid w:val="00297A3E"/>
    <w:rsid w:val="00297D09"/>
    <w:rsid w:val="00297FB6"/>
    <w:rsid w:val="002A25A9"/>
    <w:rsid w:val="002A47F2"/>
    <w:rsid w:val="002B1A7A"/>
    <w:rsid w:val="002B674F"/>
    <w:rsid w:val="002C415B"/>
    <w:rsid w:val="002C695F"/>
    <w:rsid w:val="002D0946"/>
    <w:rsid w:val="002D4691"/>
    <w:rsid w:val="002D72E7"/>
    <w:rsid w:val="002E42ED"/>
    <w:rsid w:val="002E4626"/>
    <w:rsid w:val="002E5791"/>
    <w:rsid w:val="002E68D9"/>
    <w:rsid w:val="002F4C90"/>
    <w:rsid w:val="00302566"/>
    <w:rsid w:val="00302D20"/>
    <w:rsid w:val="00304D1D"/>
    <w:rsid w:val="00316875"/>
    <w:rsid w:val="00316C85"/>
    <w:rsid w:val="00321D8B"/>
    <w:rsid w:val="00321FF5"/>
    <w:rsid w:val="00322BF7"/>
    <w:rsid w:val="003233FD"/>
    <w:rsid w:val="0032433A"/>
    <w:rsid w:val="00324552"/>
    <w:rsid w:val="00325AC9"/>
    <w:rsid w:val="00332895"/>
    <w:rsid w:val="003354E1"/>
    <w:rsid w:val="00340515"/>
    <w:rsid w:val="003412C1"/>
    <w:rsid w:val="00342C2F"/>
    <w:rsid w:val="00345D0E"/>
    <w:rsid w:val="00347734"/>
    <w:rsid w:val="00352B69"/>
    <w:rsid w:val="00352D8A"/>
    <w:rsid w:val="00353781"/>
    <w:rsid w:val="00366154"/>
    <w:rsid w:val="0036661B"/>
    <w:rsid w:val="00372AAE"/>
    <w:rsid w:val="00374600"/>
    <w:rsid w:val="00375B11"/>
    <w:rsid w:val="00376844"/>
    <w:rsid w:val="003810ED"/>
    <w:rsid w:val="00383152"/>
    <w:rsid w:val="0038443C"/>
    <w:rsid w:val="00385210"/>
    <w:rsid w:val="00385924"/>
    <w:rsid w:val="00394490"/>
    <w:rsid w:val="00395577"/>
    <w:rsid w:val="003965BD"/>
    <w:rsid w:val="003A123E"/>
    <w:rsid w:val="003A3CE2"/>
    <w:rsid w:val="003A3F85"/>
    <w:rsid w:val="003A676B"/>
    <w:rsid w:val="003B5542"/>
    <w:rsid w:val="003B6093"/>
    <w:rsid w:val="003B7DA0"/>
    <w:rsid w:val="003C0A7A"/>
    <w:rsid w:val="003C4296"/>
    <w:rsid w:val="003C4DB7"/>
    <w:rsid w:val="003C542E"/>
    <w:rsid w:val="003D10EB"/>
    <w:rsid w:val="003D30CB"/>
    <w:rsid w:val="003D636E"/>
    <w:rsid w:val="003E0509"/>
    <w:rsid w:val="003E5049"/>
    <w:rsid w:val="003E6D19"/>
    <w:rsid w:val="003F0087"/>
    <w:rsid w:val="003F1E8D"/>
    <w:rsid w:val="003F22B7"/>
    <w:rsid w:val="003F3315"/>
    <w:rsid w:val="0040118D"/>
    <w:rsid w:val="0040578B"/>
    <w:rsid w:val="00412833"/>
    <w:rsid w:val="004161EA"/>
    <w:rsid w:val="00423D95"/>
    <w:rsid w:val="004310A3"/>
    <w:rsid w:val="00431634"/>
    <w:rsid w:val="00433428"/>
    <w:rsid w:val="00435C6E"/>
    <w:rsid w:val="0044223F"/>
    <w:rsid w:val="00453CBB"/>
    <w:rsid w:val="004543D2"/>
    <w:rsid w:val="00454719"/>
    <w:rsid w:val="00456147"/>
    <w:rsid w:val="004603A1"/>
    <w:rsid w:val="00462978"/>
    <w:rsid w:val="004647A2"/>
    <w:rsid w:val="00464E4F"/>
    <w:rsid w:val="00465938"/>
    <w:rsid w:val="00470CA6"/>
    <w:rsid w:val="0047182A"/>
    <w:rsid w:val="004753E6"/>
    <w:rsid w:val="00482F5C"/>
    <w:rsid w:val="00485D50"/>
    <w:rsid w:val="004863AA"/>
    <w:rsid w:val="00493F6D"/>
    <w:rsid w:val="004941DA"/>
    <w:rsid w:val="00495A38"/>
    <w:rsid w:val="004A3FE3"/>
    <w:rsid w:val="004A51CB"/>
    <w:rsid w:val="004B175C"/>
    <w:rsid w:val="004B23E0"/>
    <w:rsid w:val="004B453A"/>
    <w:rsid w:val="004C0121"/>
    <w:rsid w:val="004C1C47"/>
    <w:rsid w:val="004D1DE9"/>
    <w:rsid w:val="004D26C3"/>
    <w:rsid w:val="004D6FAF"/>
    <w:rsid w:val="004E207A"/>
    <w:rsid w:val="004E375E"/>
    <w:rsid w:val="004E38C2"/>
    <w:rsid w:val="004E433A"/>
    <w:rsid w:val="004F19CA"/>
    <w:rsid w:val="004F3C10"/>
    <w:rsid w:val="004F50F3"/>
    <w:rsid w:val="004F79A2"/>
    <w:rsid w:val="0050009C"/>
    <w:rsid w:val="00500F5E"/>
    <w:rsid w:val="0050348B"/>
    <w:rsid w:val="005112B0"/>
    <w:rsid w:val="0051377C"/>
    <w:rsid w:val="00522EFC"/>
    <w:rsid w:val="00522F17"/>
    <w:rsid w:val="00523215"/>
    <w:rsid w:val="00525DC5"/>
    <w:rsid w:val="0052635D"/>
    <w:rsid w:val="00526B1F"/>
    <w:rsid w:val="0052727F"/>
    <w:rsid w:val="00527CAF"/>
    <w:rsid w:val="0053085D"/>
    <w:rsid w:val="005339B9"/>
    <w:rsid w:val="00542617"/>
    <w:rsid w:val="00543BE5"/>
    <w:rsid w:val="005461DE"/>
    <w:rsid w:val="005466F3"/>
    <w:rsid w:val="00552969"/>
    <w:rsid w:val="005535F9"/>
    <w:rsid w:val="00553F91"/>
    <w:rsid w:val="00560770"/>
    <w:rsid w:val="00560E07"/>
    <w:rsid w:val="00561C55"/>
    <w:rsid w:val="00562C15"/>
    <w:rsid w:val="005646C2"/>
    <w:rsid w:val="00572833"/>
    <w:rsid w:val="00573C99"/>
    <w:rsid w:val="0057491B"/>
    <w:rsid w:val="00574AB9"/>
    <w:rsid w:val="0057544A"/>
    <w:rsid w:val="00584F81"/>
    <w:rsid w:val="00585689"/>
    <w:rsid w:val="00585795"/>
    <w:rsid w:val="00586FC0"/>
    <w:rsid w:val="0059163D"/>
    <w:rsid w:val="00596ED5"/>
    <w:rsid w:val="005A02FA"/>
    <w:rsid w:val="005A3AEC"/>
    <w:rsid w:val="005B02EF"/>
    <w:rsid w:val="005B648A"/>
    <w:rsid w:val="005C04C5"/>
    <w:rsid w:val="005C2D71"/>
    <w:rsid w:val="005C5A51"/>
    <w:rsid w:val="005C68C2"/>
    <w:rsid w:val="005D3899"/>
    <w:rsid w:val="005E2D33"/>
    <w:rsid w:val="005E6E1D"/>
    <w:rsid w:val="005F4304"/>
    <w:rsid w:val="005F55AB"/>
    <w:rsid w:val="005F71C8"/>
    <w:rsid w:val="0060132C"/>
    <w:rsid w:val="006013A5"/>
    <w:rsid w:val="00603906"/>
    <w:rsid w:val="0060424D"/>
    <w:rsid w:val="0060457C"/>
    <w:rsid w:val="006060CD"/>
    <w:rsid w:val="00613FFC"/>
    <w:rsid w:val="0061501F"/>
    <w:rsid w:val="00626C3A"/>
    <w:rsid w:val="00630920"/>
    <w:rsid w:val="00631A20"/>
    <w:rsid w:val="00633165"/>
    <w:rsid w:val="006377EB"/>
    <w:rsid w:val="00640ED1"/>
    <w:rsid w:val="006500B7"/>
    <w:rsid w:val="00654B90"/>
    <w:rsid w:val="00674189"/>
    <w:rsid w:val="0067714A"/>
    <w:rsid w:val="00686845"/>
    <w:rsid w:val="006929C6"/>
    <w:rsid w:val="00693CB8"/>
    <w:rsid w:val="00697E41"/>
    <w:rsid w:val="00697E4A"/>
    <w:rsid w:val="006A2C3D"/>
    <w:rsid w:val="006A4D9D"/>
    <w:rsid w:val="006A7F73"/>
    <w:rsid w:val="006B02F4"/>
    <w:rsid w:val="006B5282"/>
    <w:rsid w:val="006B583A"/>
    <w:rsid w:val="006C3687"/>
    <w:rsid w:val="006C418C"/>
    <w:rsid w:val="006C4648"/>
    <w:rsid w:val="006D1B51"/>
    <w:rsid w:val="006D220F"/>
    <w:rsid w:val="006D5408"/>
    <w:rsid w:val="006E75EB"/>
    <w:rsid w:val="006F3814"/>
    <w:rsid w:val="006F4D59"/>
    <w:rsid w:val="006F7C77"/>
    <w:rsid w:val="00707A7C"/>
    <w:rsid w:val="00710365"/>
    <w:rsid w:val="00712168"/>
    <w:rsid w:val="00717620"/>
    <w:rsid w:val="00720A2F"/>
    <w:rsid w:val="00723C08"/>
    <w:rsid w:val="007255EE"/>
    <w:rsid w:val="00735CA9"/>
    <w:rsid w:val="00740E88"/>
    <w:rsid w:val="0074704A"/>
    <w:rsid w:val="0075032D"/>
    <w:rsid w:val="007515A3"/>
    <w:rsid w:val="007568D4"/>
    <w:rsid w:val="0076151A"/>
    <w:rsid w:val="00767097"/>
    <w:rsid w:val="007674E2"/>
    <w:rsid w:val="00774084"/>
    <w:rsid w:val="00774987"/>
    <w:rsid w:val="00774EC2"/>
    <w:rsid w:val="00777167"/>
    <w:rsid w:val="00777579"/>
    <w:rsid w:val="00786B6A"/>
    <w:rsid w:val="00786F9C"/>
    <w:rsid w:val="007927C5"/>
    <w:rsid w:val="00795F2F"/>
    <w:rsid w:val="00796CCA"/>
    <w:rsid w:val="007B4CC7"/>
    <w:rsid w:val="007B5A19"/>
    <w:rsid w:val="007B75CC"/>
    <w:rsid w:val="007C021D"/>
    <w:rsid w:val="007C160E"/>
    <w:rsid w:val="007D4849"/>
    <w:rsid w:val="007D5DB9"/>
    <w:rsid w:val="007E0142"/>
    <w:rsid w:val="007E0C0D"/>
    <w:rsid w:val="007E3688"/>
    <w:rsid w:val="00802632"/>
    <w:rsid w:val="00805335"/>
    <w:rsid w:val="00806E32"/>
    <w:rsid w:val="00811F61"/>
    <w:rsid w:val="008157AB"/>
    <w:rsid w:val="008202B9"/>
    <w:rsid w:val="0082538B"/>
    <w:rsid w:val="0082612C"/>
    <w:rsid w:val="008355C8"/>
    <w:rsid w:val="00840AF0"/>
    <w:rsid w:val="00840FF9"/>
    <w:rsid w:val="00841A4B"/>
    <w:rsid w:val="0084660A"/>
    <w:rsid w:val="0085050A"/>
    <w:rsid w:val="00851CCC"/>
    <w:rsid w:val="0085326D"/>
    <w:rsid w:val="0085507D"/>
    <w:rsid w:val="008553B7"/>
    <w:rsid w:val="008555ED"/>
    <w:rsid w:val="00862796"/>
    <w:rsid w:val="00864719"/>
    <w:rsid w:val="00864EBF"/>
    <w:rsid w:val="00865B07"/>
    <w:rsid w:val="008667E9"/>
    <w:rsid w:val="0086772F"/>
    <w:rsid w:val="00872710"/>
    <w:rsid w:val="00872814"/>
    <w:rsid w:val="00874D7B"/>
    <w:rsid w:val="008756AC"/>
    <w:rsid w:val="00876C55"/>
    <w:rsid w:val="00880244"/>
    <w:rsid w:val="008807F5"/>
    <w:rsid w:val="00881EA4"/>
    <w:rsid w:val="008846C8"/>
    <w:rsid w:val="0088683B"/>
    <w:rsid w:val="008875E2"/>
    <w:rsid w:val="0088772A"/>
    <w:rsid w:val="008930F7"/>
    <w:rsid w:val="008967BF"/>
    <w:rsid w:val="00896F8E"/>
    <w:rsid w:val="008A311F"/>
    <w:rsid w:val="008A3911"/>
    <w:rsid w:val="008A4D8E"/>
    <w:rsid w:val="008A5E40"/>
    <w:rsid w:val="008B0CFF"/>
    <w:rsid w:val="008B2CBB"/>
    <w:rsid w:val="008B6EA1"/>
    <w:rsid w:val="008C13FF"/>
    <w:rsid w:val="008C5921"/>
    <w:rsid w:val="008D127B"/>
    <w:rsid w:val="008D5E5E"/>
    <w:rsid w:val="008D6EB5"/>
    <w:rsid w:val="008D6EDB"/>
    <w:rsid w:val="008D74BD"/>
    <w:rsid w:val="008E24F6"/>
    <w:rsid w:val="008E5A04"/>
    <w:rsid w:val="008F0069"/>
    <w:rsid w:val="008F36BC"/>
    <w:rsid w:val="009035A3"/>
    <w:rsid w:val="00903EBB"/>
    <w:rsid w:val="00904CC7"/>
    <w:rsid w:val="00912493"/>
    <w:rsid w:val="0091456A"/>
    <w:rsid w:val="0091584F"/>
    <w:rsid w:val="0091626F"/>
    <w:rsid w:val="009200E4"/>
    <w:rsid w:val="00926DF1"/>
    <w:rsid w:val="00937372"/>
    <w:rsid w:val="00942C3A"/>
    <w:rsid w:val="009435C8"/>
    <w:rsid w:val="009546CF"/>
    <w:rsid w:val="0095616D"/>
    <w:rsid w:val="00956CC2"/>
    <w:rsid w:val="00963CF7"/>
    <w:rsid w:val="009721AA"/>
    <w:rsid w:val="0097364B"/>
    <w:rsid w:val="009747FC"/>
    <w:rsid w:val="00977620"/>
    <w:rsid w:val="009809B6"/>
    <w:rsid w:val="00984D96"/>
    <w:rsid w:val="00990B95"/>
    <w:rsid w:val="00993E49"/>
    <w:rsid w:val="00996CE2"/>
    <w:rsid w:val="009A1E80"/>
    <w:rsid w:val="009A22DD"/>
    <w:rsid w:val="009A4376"/>
    <w:rsid w:val="009A44FF"/>
    <w:rsid w:val="009A4BBE"/>
    <w:rsid w:val="009A4FB2"/>
    <w:rsid w:val="009A7838"/>
    <w:rsid w:val="009B0164"/>
    <w:rsid w:val="009B1169"/>
    <w:rsid w:val="009B244F"/>
    <w:rsid w:val="009B3881"/>
    <w:rsid w:val="009B75F5"/>
    <w:rsid w:val="009C31E0"/>
    <w:rsid w:val="009C5434"/>
    <w:rsid w:val="009C7AAC"/>
    <w:rsid w:val="009D61DB"/>
    <w:rsid w:val="009E18CD"/>
    <w:rsid w:val="009E416B"/>
    <w:rsid w:val="009E5BC4"/>
    <w:rsid w:val="009E747B"/>
    <w:rsid w:val="009F1289"/>
    <w:rsid w:val="009F1BC2"/>
    <w:rsid w:val="009F36E4"/>
    <w:rsid w:val="009F7CBF"/>
    <w:rsid w:val="00A00048"/>
    <w:rsid w:val="00A01E78"/>
    <w:rsid w:val="00A06866"/>
    <w:rsid w:val="00A123EA"/>
    <w:rsid w:val="00A14B8A"/>
    <w:rsid w:val="00A14C46"/>
    <w:rsid w:val="00A2457B"/>
    <w:rsid w:val="00A2523C"/>
    <w:rsid w:val="00A30299"/>
    <w:rsid w:val="00A305A5"/>
    <w:rsid w:val="00A309BF"/>
    <w:rsid w:val="00A42368"/>
    <w:rsid w:val="00A43658"/>
    <w:rsid w:val="00A51318"/>
    <w:rsid w:val="00A52631"/>
    <w:rsid w:val="00A5465E"/>
    <w:rsid w:val="00A5547C"/>
    <w:rsid w:val="00A5623A"/>
    <w:rsid w:val="00A61C7F"/>
    <w:rsid w:val="00A6605B"/>
    <w:rsid w:val="00A6725E"/>
    <w:rsid w:val="00A67704"/>
    <w:rsid w:val="00A7047C"/>
    <w:rsid w:val="00A74EE3"/>
    <w:rsid w:val="00A8016B"/>
    <w:rsid w:val="00A80E79"/>
    <w:rsid w:val="00A81F57"/>
    <w:rsid w:val="00A8619B"/>
    <w:rsid w:val="00AA0F34"/>
    <w:rsid w:val="00AA3EDC"/>
    <w:rsid w:val="00AA713A"/>
    <w:rsid w:val="00AB03B3"/>
    <w:rsid w:val="00AC29A3"/>
    <w:rsid w:val="00AD57BC"/>
    <w:rsid w:val="00AE02FE"/>
    <w:rsid w:val="00AE3DFA"/>
    <w:rsid w:val="00AE5E40"/>
    <w:rsid w:val="00AF0EF0"/>
    <w:rsid w:val="00AF1139"/>
    <w:rsid w:val="00B00E07"/>
    <w:rsid w:val="00B01482"/>
    <w:rsid w:val="00B02A5A"/>
    <w:rsid w:val="00B02EA1"/>
    <w:rsid w:val="00B03566"/>
    <w:rsid w:val="00B04984"/>
    <w:rsid w:val="00B04CC5"/>
    <w:rsid w:val="00B05F7F"/>
    <w:rsid w:val="00B1018C"/>
    <w:rsid w:val="00B129C3"/>
    <w:rsid w:val="00B13C44"/>
    <w:rsid w:val="00B13CE4"/>
    <w:rsid w:val="00B1722F"/>
    <w:rsid w:val="00B208FC"/>
    <w:rsid w:val="00B21856"/>
    <w:rsid w:val="00B22A19"/>
    <w:rsid w:val="00B36164"/>
    <w:rsid w:val="00B36E87"/>
    <w:rsid w:val="00B36F9B"/>
    <w:rsid w:val="00B37594"/>
    <w:rsid w:val="00B40D2B"/>
    <w:rsid w:val="00B4110D"/>
    <w:rsid w:val="00B42A4D"/>
    <w:rsid w:val="00B53DBF"/>
    <w:rsid w:val="00B57F6F"/>
    <w:rsid w:val="00B6101B"/>
    <w:rsid w:val="00B6282A"/>
    <w:rsid w:val="00B64005"/>
    <w:rsid w:val="00B657CB"/>
    <w:rsid w:val="00B65D1C"/>
    <w:rsid w:val="00B66397"/>
    <w:rsid w:val="00B66404"/>
    <w:rsid w:val="00B71CCA"/>
    <w:rsid w:val="00B7477E"/>
    <w:rsid w:val="00B7512E"/>
    <w:rsid w:val="00B80A06"/>
    <w:rsid w:val="00B82DE6"/>
    <w:rsid w:val="00B862BA"/>
    <w:rsid w:val="00B92BE1"/>
    <w:rsid w:val="00B9462D"/>
    <w:rsid w:val="00B97E1E"/>
    <w:rsid w:val="00BA2B21"/>
    <w:rsid w:val="00BA7A86"/>
    <w:rsid w:val="00BB5B1E"/>
    <w:rsid w:val="00BC1A32"/>
    <w:rsid w:val="00BC2288"/>
    <w:rsid w:val="00BC291F"/>
    <w:rsid w:val="00BC600C"/>
    <w:rsid w:val="00BD5774"/>
    <w:rsid w:val="00BE334C"/>
    <w:rsid w:val="00BE4B0D"/>
    <w:rsid w:val="00BF64D9"/>
    <w:rsid w:val="00BF75C0"/>
    <w:rsid w:val="00C1221B"/>
    <w:rsid w:val="00C1501A"/>
    <w:rsid w:val="00C1590B"/>
    <w:rsid w:val="00C241DA"/>
    <w:rsid w:val="00C259E2"/>
    <w:rsid w:val="00C26EFE"/>
    <w:rsid w:val="00C36359"/>
    <w:rsid w:val="00C364E1"/>
    <w:rsid w:val="00C41145"/>
    <w:rsid w:val="00C431E2"/>
    <w:rsid w:val="00C433C2"/>
    <w:rsid w:val="00C46C43"/>
    <w:rsid w:val="00C54A69"/>
    <w:rsid w:val="00C55665"/>
    <w:rsid w:val="00C57F62"/>
    <w:rsid w:val="00C6626E"/>
    <w:rsid w:val="00C71B26"/>
    <w:rsid w:val="00C72878"/>
    <w:rsid w:val="00C7401A"/>
    <w:rsid w:val="00C74237"/>
    <w:rsid w:val="00C74BB1"/>
    <w:rsid w:val="00C803F1"/>
    <w:rsid w:val="00C82AF6"/>
    <w:rsid w:val="00C86C7C"/>
    <w:rsid w:val="00C90281"/>
    <w:rsid w:val="00C94596"/>
    <w:rsid w:val="00C95AF8"/>
    <w:rsid w:val="00C9670C"/>
    <w:rsid w:val="00C970C7"/>
    <w:rsid w:val="00CA3517"/>
    <w:rsid w:val="00CA3B62"/>
    <w:rsid w:val="00CA566C"/>
    <w:rsid w:val="00CA5AFE"/>
    <w:rsid w:val="00CA5F42"/>
    <w:rsid w:val="00CB2B8E"/>
    <w:rsid w:val="00CB6D61"/>
    <w:rsid w:val="00CC3324"/>
    <w:rsid w:val="00CC3A83"/>
    <w:rsid w:val="00CC55AB"/>
    <w:rsid w:val="00CC5759"/>
    <w:rsid w:val="00CE040A"/>
    <w:rsid w:val="00CE42C1"/>
    <w:rsid w:val="00CE56EA"/>
    <w:rsid w:val="00CE626D"/>
    <w:rsid w:val="00CF0012"/>
    <w:rsid w:val="00CF4C95"/>
    <w:rsid w:val="00D00AF8"/>
    <w:rsid w:val="00D04E2C"/>
    <w:rsid w:val="00D11C79"/>
    <w:rsid w:val="00D147F9"/>
    <w:rsid w:val="00D15D68"/>
    <w:rsid w:val="00D21E31"/>
    <w:rsid w:val="00D224CC"/>
    <w:rsid w:val="00D25614"/>
    <w:rsid w:val="00D265EE"/>
    <w:rsid w:val="00D26D89"/>
    <w:rsid w:val="00D327DA"/>
    <w:rsid w:val="00D336C7"/>
    <w:rsid w:val="00D339EE"/>
    <w:rsid w:val="00D347BA"/>
    <w:rsid w:val="00D3558F"/>
    <w:rsid w:val="00D36CC1"/>
    <w:rsid w:val="00D36E2E"/>
    <w:rsid w:val="00D40D32"/>
    <w:rsid w:val="00D410CF"/>
    <w:rsid w:val="00D41B93"/>
    <w:rsid w:val="00D42BDB"/>
    <w:rsid w:val="00D44398"/>
    <w:rsid w:val="00D4460D"/>
    <w:rsid w:val="00D453E6"/>
    <w:rsid w:val="00D46097"/>
    <w:rsid w:val="00D46B6B"/>
    <w:rsid w:val="00D520D1"/>
    <w:rsid w:val="00D65288"/>
    <w:rsid w:val="00D732B6"/>
    <w:rsid w:val="00D75E3F"/>
    <w:rsid w:val="00D805DA"/>
    <w:rsid w:val="00D931DE"/>
    <w:rsid w:val="00D9340D"/>
    <w:rsid w:val="00D96437"/>
    <w:rsid w:val="00DA11AA"/>
    <w:rsid w:val="00DA1C2C"/>
    <w:rsid w:val="00DB14F5"/>
    <w:rsid w:val="00DB2D65"/>
    <w:rsid w:val="00DB5E63"/>
    <w:rsid w:val="00DB75EC"/>
    <w:rsid w:val="00DC60E7"/>
    <w:rsid w:val="00DC7B0F"/>
    <w:rsid w:val="00DD05C6"/>
    <w:rsid w:val="00DD1CCB"/>
    <w:rsid w:val="00DD1CE4"/>
    <w:rsid w:val="00DD3C96"/>
    <w:rsid w:val="00DD516D"/>
    <w:rsid w:val="00DD5CAA"/>
    <w:rsid w:val="00DF1F3E"/>
    <w:rsid w:val="00DF484B"/>
    <w:rsid w:val="00DF5EED"/>
    <w:rsid w:val="00DF653C"/>
    <w:rsid w:val="00DF781A"/>
    <w:rsid w:val="00E02745"/>
    <w:rsid w:val="00E03D5E"/>
    <w:rsid w:val="00E04F51"/>
    <w:rsid w:val="00E056F4"/>
    <w:rsid w:val="00E0629B"/>
    <w:rsid w:val="00E066BD"/>
    <w:rsid w:val="00E12800"/>
    <w:rsid w:val="00E20569"/>
    <w:rsid w:val="00E25091"/>
    <w:rsid w:val="00E26752"/>
    <w:rsid w:val="00E27C4D"/>
    <w:rsid w:val="00E314D1"/>
    <w:rsid w:val="00E3266E"/>
    <w:rsid w:val="00E34E7D"/>
    <w:rsid w:val="00E414BA"/>
    <w:rsid w:val="00E423E2"/>
    <w:rsid w:val="00E42A49"/>
    <w:rsid w:val="00E44487"/>
    <w:rsid w:val="00E470CF"/>
    <w:rsid w:val="00E50447"/>
    <w:rsid w:val="00E50D5B"/>
    <w:rsid w:val="00E5188B"/>
    <w:rsid w:val="00E56DE6"/>
    <w:rsid w:val="00E605C6"/>
    <w:rsid w:val="00E63057"/>
    <w:rsid w:val="00E64BDE"/>
    <w:rsid w:val="00E7034D"/>
    <w:rsid w:val="00E72435"/>
    <w:rsid w:val="00E729BA"/>
    <w:rsid w:val="00E745AC"/>
    <w:rsid w:val="00E7611F"/>
    <w:rsid w:val="00E809C5"/>
    <w:rsid w:val="00E85E67"/>
    <w:rsid w:val="00E93AD2"/>
    <w:rsid w:val="00EA0EEF"/>
    <w:rsid w:val="00EA2B8C"/>
    <w:rsid w:val="00EA3ADA"/>
    <w:rsid w:val="00EA7864"/>
    <w:rsid w:val="00EC3BC7"/>
    <w:rsid w:val="00EC6728"/>
    <w:rsid w:val="00ED5396"/>
    <w:rsid w:val="00ED6654"/>
    <w:rsid w:val="00ED7C1F"/>
    <w:rsid w:val="00EE1835"/>
    <w:rsid w:val="00EE22AB"/>
    <w:rsid w:val="00EE3525"/>
    <w:rsid w:val="00EE54F3"/>
    <w:rsid w:val="00EE5A2B"/>
    <w:rsid w:val="00EE78DF"/>
    <w:rsid w:val="00EF2645"/>
    <w:rsid w:val="00EF2AF8"/>
    <w:rsid w:val="00EF46CD"/>
    <w:rsid w:val="00EF6BC5"/>
    <w:rsid w:val="00EF6C53"/>
    <w:rsid w:val="00F05969"/>
    <w:rsid w:val="00F101C2"/>
    <w:rsid w:val="00F116A8"/>
    <w:rsid w:val="00F13D7C"/>
    <w:rsid w:val="00F170E0"/>
    <w:rsid w:val="00F200B8"/>
    <w:rsid w:val="00F20404"/>
    <w:rsid w:val="00F21B4E"/>
    <w:rsid w:val="00F240B3"/>
    <w:rsid w:val="00F279F8"/>
    <w:rsid w:val="00F27D79"/>
    <w:rsid w:val="00F300FE"/>
    <w:rsid w:val="00F323B6"/>
    <w:rsid w:val="00F37CBB"/>
    <w:rsid w:val="00F37F46"/>
    <w:rsid w:val="00F37F72"/>
    <w:rsid w:val="00F40001"/>
    <w:rsid w:val="00F40B11"/>
    <w:rsid w:val="00F42679"/>
    <w:rsid w:val="00F467C5"/>
    <w:rsid w:val="00F47AA7"/>
    <w:rsid w:val="00F50107"/>
    <w:rsid w:val="00F557A7"/>
    <w:rsid w:val="00F635EE"/>
    <w:rsid w:val="00F65737"/>
    <w:rsid w:val="00F7326D"/>
    <w:rsid w:val="00F73C99"/>
    <w:rsid w:val="00F73CDA"/>
    <w:rsid w:val="00F75383"/>
    <w:rsid w:val="00F75617"/>
    <w:rsid w:val="00F766F2"/>
    <w:rsid w:val="00F770FE"/>
    <w:rsid w:val="00F871D3"/>
    <w:rsid w:val="00F90F69"/>
    <w:rsid w:val="00F94168"/>
    <w:rsid w:val="00F945B5"/>
    <w:rsid w:val="00F959C7"/>
    <w:rsid w:val="00F96190"/>
    <w:rsid w:val="00FA1DA2"/>
    <w:rsid w:val="00FA4141"/>
    <w:rsid w:val="00FA6EC2"/>
    <w:rsid w:val="00FA6FE3"/>
    <w:rsid w:val="00FC4175"/>
    <w:rsid w:val="00FC6EA4"/>
    <w:rsid w:val="00FD7D8B"/>
    <w:rsid w:val="00FE136B"/>
    <w:rsid w:val="00FE20D1"/>
    <w:rsid w:val="00FE2F7A"/>
    <w:rsid w:val="00FE626C"/>
    <w:rsid w:val="00FF5D67"/>
    <w:rsid w:val="00FF6ED7"/>
    <w:rsid w:val="09DC5DBA"/>
    <w:rsid w:val="400E4702"/>
    <w:rsid w:val="470950D1"/>
    <w:rsid w:val="76C6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4"/>
    <w:semiHidden/>
    <w:unhideWhenUsed/>
    <w:qFormat/>
    <w:uiPriority w:val="99"/>
    <w:rPr>
      <w:b/>
      <w:bCs/>
    </w:rPr>
  </w:style>
  <w:style w:type="paragraph" w:styleId="3">
    <w:name w:val="annotation text"/>
    <w:basedOn w:val="1"/>
    <w:link w:val="23"/>
    <w:semiHidden/>
    <w:unhideWhenUsed/>
    <w:qFormat/>
    <w:uiPriority w:val="99"/>
    <w:pPr>
      <w:jc w:val="left"/>
    </w:pPr>
  </w:style>
  <w:style w:type="paragraph" w:styleId="4">
    <w:name w:val="Date"/>
    <w:basedOn w:val="1"/>
    <w:next w:val="1"/>
    <w:link w:val="14"/>
    <w:semiHidden/>
    <w:unhideWhenUsed/>
    <w:qFormat/>
    <w:uiPriority w:val="99"/>
    <w:pPr>
      <w:ind w:left="100" w:leftChars="2500"/>
    </w:pPr>
  </w:style>
  <w:style w:type="paragraph" w:styleId="5">
    <w:name w:val="Balloon Text"/>
    <w:basedOn w:val="1"/>
    <w:link w:val="22"/>
    <w:semiHidden/>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9"/>
    <w:semiHidden/>
    <w:unhideWhenUsed/>
    <w:qFormat/>
    <w:uiPriority w:val="99"/>
    <w:pPr>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annotation reference"/>
    <w:basedOn w:val="10"/>
    <w:semiHidden/>
    <w:unhideWhenUsed/>
    <w:uiPriority w:val="99"/>
    <w:rPr>
      <w:sz w:val="21"/>
      <w:szCs w:val="21"/>
    </w:rPr>
  </w:style>
  <w:style w:type="character" w:styleId="12">
    <w:name w:val="footnote reference"/>
    <w:basedOn w:val="10"/>
    <w:semiHidden/>
    <w:unhideWhenUsed/>
    <w:qFormat/>
    <w:uiPriority w:val="99"/>
    <w:rPr>
      <w:vertAlign w:val="superscript"/>
    </w:rPr>
  </w:style>
  <w:style w:type="character" w:customStyle="1" w:styleId="14">
    <w:name w:val="日期 Char"/>
    <w:basedOn w:val="10"/>
    <w:link w:val="4"/>
    <w:semiHidden/>
    <w:qFormat/>
    <w:uiPriority w:val="99"/>
    <w:rPr>
      <w:rFonts w:ascii="Times New Roman" w:hAnsi="Times New Roman" w:eastAsia="宋体" w:cs="Times New Roman"/>
      <w:szCs w:val="20"/>
    </w:rPr>
  </w:style>
  <w:style w:type="paragraph" w:styleId="15">
    <w:name w:val="List Paragraph"/>
    <w:basedOn w:val="1"/>
    <w:qFormat/>
    <w:uiPriority w:val="34"/>
    <w:pPr>
      <w:ind w:firstLine="420" w:firstLineChars="200"/>
    </w:pPr>
  </w:style>
  <w:style w:type="character" w:customStyle="1" w:styleId="16">
    <w:name w:val="页眉 Char"/>
    <w:basedOn w:val="10"/>
    <w:link w:val="7"/>
    <w:uiPriority w:val="99"/>
    <w:rPr>
      <w:rFonts w:ascii="Times New Roman" w:hAnsi="Times New Roman" w:eastAsia="宋体" w:cs="Times New Roman"/>
      <w:sz w:val="18"/>
      <w:szCs w:val="18"/>
    </w:rPr>
  </w:style>
  <w:style w:type="character" w:customStyle="1" w:styleId="17">
    <w:name w:val="页脚 Char"/>
    <w:basedOn w:val="10"/>
    <w:link w:val="6"/>
    <w:uiPriority w:val="99"/>
    <w:rPr>
      <w:rFonts w:ascii="Times New Roman" w:hAnsi="Times New Roman" w:eastAsia="宋体" w:cs="Times New Roman"/>
      <w:sz w:val="18"/>
      <w:szCs w:val="18"/>
    </w:rPr>
  </w:style>
  <w:style w:type="character" w:customStyle="1" w:styleId="18">
    <w:name w:val="书籍标题1"/>
    <w:basedOn w:val="10"/>
    <w:qFormat/>
    <w:uiPriority w:val="33"/>
    <w:rPr>
      <w:b/>
      <w:bCs/>
      <w:smallCaps/>
      <w:spacing w:val="5"/>
    </w:rPr>
  </w:style>
  <w:style w:type="character" w:customStyle="1" w:styleId="19">
    <w:name w:val="脚注文本 Char"/>
    <w:basedOn w:val="10"/>
    <w:link w:val="8"/>
    <w:semiHidden/>
    <w:uiPriority w:val="99"/>
    <w:rPr>
      <w:rFonts w:ascii="Times New Roman" w:hAnsi="Times New Roman" w:eastAsia="宋体" w:cs="Times New Roman"/>
      <w:sz w:val="18"/>
      <w:szCs w:val="18"/>
    </w:rPr>
  </w:style>
  <w:style w:type="character" w:customStyle="1" w:styleId="20">
    <w:name w:val="apple-converted-space"/>
    <w:basedOn w:val="10"/>
    <w:qFormat/>
    <w:uiPriority w:val="0"/>
  </w:style>
  <w:style w:type="character" w:customStyle="1" w:styleId="21">
    <w:name w:val="high-light-bg"/>
    <w:basedOn w:val="10"/>
    <w:qFormat/>
    <w:uiPriority w:val="0"/>
  </w:style>
  <w:style w:type="character" w:customStyle="1" w:styleId="22">
    <w:name w:val="批注框文本 Char"/>
    <w:basedOn w:val="10"/>
    <w:link w:val="5"/>
    <w:semiHidden/>
    <w:uiPriority w:val="99"/>
    <w:rPr>
      <w:rFonts w:ascii="Times New Roman" w:hAnsi="Times New Roman" w:eastAsia="宋体" w:cs="Times New Roman"/>
      <w:sz w:val="18"/>
      <w:szCs w:val="18"/>
    </w:rPr>
  </w:style>
  <w:style w:type="character" w:customStyle="1" w:styleId="23">
    <w:name w:val="批注文字 Char"/>
    <w:basedOn w:val="10"/>
    <w:link w:val="3"/>
    <w:semiHidden/>
    <w:qFormat/>
    <w:uiPriority w:val="99"/>
    <w:rPr>
      <w:rFonts w:ascii="Times New Roman" w:hAnsi="Times New Roman" w:eastAsia="宋体" w:cs="Times New Roman"/>
      <w:szCs w:val="20"/>
    </w:rPr>
  </w:style>
  <w:style w:type="character" w:customStyle="1" w:styleId="24">
    <w:name w:val="批注主题 Char"/>
    <w:basedOn w:val="23"/>
    <w:link w:val="2"/>
    <w:semiHidden/>
    <w:uiPriority w:val="99"/>
    <w:rPr>
      <w:rFonts w:ascii="Times New Roman" w:hAnsi="Times New Roman" w:eastAsia="宋体" w:cs="Times New Roman"/>
      <w:b/>
      <w:bCs/>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2.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customXml" Target="../customXml/item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650076-E1EE-43E0-88E6-A1255BC55E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1414</Words>
  <Characters>8063</Characters>
  <Lines>67</Lines>
  <Paragraphs>18</Paragraphs>
  <TotalTime>7</TotalTime>
  <ScaleCrop>false</ScaleCrop>
  <LinksUpToDate>false</LinksUpToDate>
  <CharactersWithSpaces>9459</CharactersWithSpaces>
  <Application>WPS Office_10.1.0.7520_F1E327BC-269C-435d-A152-05C5408002CA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2018-03-21T01:51:00Z</dcterms:created>
  <dc:creator>user</dc:creator>
  <lastModifiedBy>HC</lastModifiedBy>
  <dcterms:modified xsi:type="dcterms:W3CDTF">2018-09-29T00:50:48Z</dcterms:modified>
  <revision>367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