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城市社区纠纷化解与法学教学的融合研究</w:t>
      </w:r>
    </w:p>
    <w:p>
      <w:pPr>
        <w:spacing w:line="360" w:lineRule="auto"/>
        <w:ind w:firstLine="420" w:firstLineChars="200"/>
        <w:jc w:val="center"/>
        <w:rPr>
          <w:szCs w:val="21"/>
        </w:rPr>
      </w:pPr>
      <w:r>
        <w:rPr>
          <w:rFonts w:hint="eastAsia"/>
          <w:szCs w:val="21"/>
        </w:rPr>
        <w:t>何倩</w:t>
      </w:r>
      <w:r>
        <w:rPr>
          <w:rStyle w:val="10"/>
          <w:szCs w:val="21"/>
        </w:rPr>
        <w:footnoteReference w:id="0"/>
      </w:r>
    </w:p>
    <w:p>
      <w:pPr>
        <w:spacing w:line="360" w:lineRule="auto"/>
        <w:ind w:firstLine="420" w:firstLineChars="200"/>
        <w:jc w:val="center"/>
        <w:rPr>
          <w:szCs w:val="21"/>
        </w:rPr>
      </w:pPr>
      <w:r>
        <w:rPr>
          <w:rFonts w:hint="eastAsia"/>
          <w:szCs w:val="21"/>
        </w:rPr>
        <w:t>（北京城市学院，北京</w:t>
      </w:r>
      <w:r>
        <w:rPr>
          <w:rFonts w:hint="eastAsia"/>
          <w:szCs w:val="21"/>
          <w:lang w:val="en-US" w:eastAsia="zh-CN"/>
        </w:rPr>
        <w:t xml:space="preserve"> </w:t>
      </w:r>
      <w:r>
        <w:rPr>
          <w:rFonts w:hint="eastAsia"/>
          <w:szCs w:val="21"/>
        </w:rPr>
        <w:t>100083）</w:t>
      </w:r>
    </w:p>
    <w:p>
      <w:pPr>
        <w:spacing w:line="360" w:lineRule="auto"/>
        <w:ind w:firstLine="422" w:firstLineChars="200"/>
        <w:rPr>
          <w:szCs w:val="21"/>
        </w:rPr>
      </w:pPr>
      <w:r>
        <w:rPr>
          <w:rFonts w:hint="eastAsia"/>
          <w:b/>
        </w:rPr>
        <w:t>摘要</w:t>
      </w:r>
      <w:r>
        <w:rPr>
          <w:rFonts w:hint="eastAsia"/>
        </w:rPr>
        <w:t>：法学教学经过多年发展，其传统的案例教学方法正在逐步变革当</w:t>
      </w:r>
      <w:r>
        <w:rPr>
          <w:rFonts w:hint="eastAsia"/>
          <w:szCs w:val="21"/>
        </w:rPr>
        <w:t>中。其传统的诉讼案例教学，注重在法学专业理论基础上推理能力和辩论技巧的培养，对应律师、法官、检察官等职业定位。</w:t>
      </w:r>
      <w:r>
        <w:rPr>
          <w:rFonts w:hint="eastAsia"/>
        </w:rPr>
        <w:t>在城市化不断深入的同时，社会矛盾纠纷也随之急剧增加。传统法学专业教学</w:t>
      </w:r>
      <w:r>
        <w:rPr>
          <w:rFonts w:hint="eastAsia"/>
          <w:szCs w:val="21"/>
        </w:rPr>
        <w:t>已逐渐不能满足社会矛盾纠纷化解的需要。</w:t>
      </w:r>
      <w:r>
        <w:rPr>
          <w:rFonts w:hint="eastAsia"/>
        </w:rPr>
        <w:t>作为城市治理重要组成部分的社区治理已成为矛盾纠纷化解的重要载体，而</w:t>
      </w:r>
      <w:r>
        <w:rPr>
          <w:rFonts w:hint="eastAsia"/>
          <w:szCs w:val="21"/>
        </w:rPr>
        <w:t>现有的社区法律服务不能满足居民的需求。面对社区矛盾纠纷化解和法律服务的需求，法学教学顺应人才需求的变化，在案例教学上进行新的尝试，以适应城市化背景下法律服务人才的需要，以及行业发展对人才的新要求。</w:t>
      </w:r>
    </w:p>
    <w:p>
      <w:pPr>
        <w:spacing w:line="360" w:lineRule="auto"/>
        <w:ind w:firstLine="422" w:firstLineChars="200"/>
        <w:rPr>
          <w:szCs w:val="21"/>
        </w:rPr>
      </w:pPr>
      <w:r>
        <w:rPr>
          <w:rFonts w:hint="eastAsia"/>
          <w:b/>
          <w:szCs w:val="21"/>
        </w:rPr>
        <w:t>关键词</w:t>
      </w:r>
      <w:r>
        <w:rPr>
          <w:rFonts w:hint="eastAsia"/>
          <w:szCs w:val="21"/>
        </w:rPr>
        <w:t>：社区；纠纷化解；案例教学</w:t>
      </w:r>
    </w:p>
    <w:p>
      <w:pPr>
        <w:spacing w:line="360" w:lineRule="auto"/>
        <w:ind w:firstLine="420" w:firstLineChars="200"/>
      </w:pPr>
      <w:r>
        <w:rPr>
          <w:rFonts w:hint="eastAsia"/>
        </w:rPr>
        <w:t>中图分类号：D920        文献识别码：J        文章编号：</w:t>
      </w:r>
    </w:p>
    <w:p>
      <w:pPr>
        <w:spacing w:line="360" w:lineRule="auto"/>
        <w:ind w:firstLine="420" w:firstLineChars="200"/>
      </w:pPr>
    </w:p>
    <w:p>
      <w:pPr>
        <w:spacing w:line="400" w:lineRule="exact"/>
        <w:ind w:firstLine="420" w:firstLineChars="200"/>
        <w:rPr>
          <w:rFonts w:asciiTheme="minorEastAsia" w:hAnsiTheme="minorEastAsia"/>
          <w:szCs w:val="21"/>
        </w:rPr>
      </w:pPr>
      <w:r>
        <w:rPr>
          <w:rFonts w:hint="eastAsia" w:asciiTheme="minorEastAsia" w:hAnsiTheme="minorEastAsia"/>
          <w:szCs w:val="21"/>
        </w:rPr>
        <w:t>随着我国城市化的逐渐深入，社会矛盾冲突日益增多。在近几十年社会发展中，经历了“诉讼大爆炸”时期。为了化解多发的社会矛盾纠纷，我国多元纠纷解决机制越来越丰富。而作为化解矛盾纠纷的主要学科力量法学专业，也需要对现实需求做出回应。</w:t>
      </w:r>
    </w:p>
    <w:p>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一、法学案例教学的现状</w:t>
      </w:r>
    </w:p>
    <w:p>
      <w:pPr>
        <w:spacing w:line="400" w:lineRule="exact"/>
        <w:ind w:firstLine="420" w:firstLineChars="200"/>
        <w:rPr>
          <w:rFonts w:asciiTheme="minorEastAsia" w:hAnsiTheme="minorEastAsia"/>
          <w:szCs w:val="21"/>
        </w:rPr>
      </w:pPr>
      <w:r>
        <w:rPr>
          <w:rFonts w:hint="eastAsia" w:asciiTheme="minorEastAsia" w:hAnsiTheme="minorEastAsia"/>
          <w:szCs w:val="21"/>
        </w:rPr>
        <w:t>当今世界各国的法学教学中，案例教学始终居于重要地位，较有影响的有美国的“个案教学法”、法律诊所教学，德国的“实例研习</w:t>
      </w:r>
      <w:r>
        <w:rPr>
          <w:rFonts w:asciiTheme="minorEastAsia" w:hAnsiTheme="minorEastAsia"/>
          <w:szCs w:val="21"/>
        </w:rPr>
        <w:t>”</w:t>
      </w:r>
      <w:r>
        <w:rPr>
          <w:rFonts w:hint="eastAsia" w:asciiTheme="minorEastAsia" w:hAnsiTheme="minorEastAsia"/>
          <w:szCs w:val="21"/>
        </w:rPr>
        <w:t>等。法学实践性教学的内容非常广泛，而且处于不断的发展、变化当中。每一种不同的案例教学方式，承载着不同的法律实务能力培养的理念。如美国法学教育以律师为培养目标，因此法学院的培养与法律职业实践紧密结合，而德国法学教育以培养法官为导向，法学院本科注重法律素质教育，而法律职业培训则由实务部门承担，大学毕业后需进行为期两年的实务训练。</w:t>
      </w:r>
      <w:r>
        <w:rPr>
          <w:rFonts w:hint="eastAsia" w:asciiTheme="minorEastAsia" w:hAnsiTheme="minorEastAsia"/>
          <w:szCs w:val="21"/>
          <w:vertAlign w:val="superscript"/>
        </w:rPr>
        <w:t>[1]40</w:t>
      </w:r>
    </w:p>
    <w:p>
      <w:pPr>
        <w:spacing w:line="400" w:lineRule="exact"/>
        <w:ind w:firstLine="420" w:firstLineChars="200"/>
        <w:rPr>
          <w:rFonts w:asciiTheme="minorEastAsia" w:hAnsiTheme="minorEastAsia"/>
          <w:szCs w:val="21"/>
        </w:rPr>
      </w:pPr>
      <w:r>
        <w:rPr>
          <w:rFonts w:hint="eastAsia" w:asciiTheme="minorEastAsia" w:hAnsiTheme="minorEastAsia"/>
          <w:szCs w:val="21"/>
        </w:rPr>
        <w:t>中国大陆的法学案例教学，吸收了各国案例教学的经验，既有英美法系的职业教育，也有大陆法系的素质教育，还承担了法学研究人才的培养。近年来，取得了较大的发展，诸如法律诊所、模拟法庭、案例分析、谈判等各种形式均纳入到案例教学课程当中。</w:t>
      </w:r>
    </w:p>
    <w:p>
      <w:pPr>
        <w:spacing w:line="400" w:lineRule="exact"/>
        <w:ind w:firstLine="420" w:firstLineChars="200"/>
        <w:rPr>
          <w:rFonts w:asciiTheme="minorEastAsia" w:hAnsiTheme="minorEastAsia"/>
          <w:szCs w:val="21"/>
        </w:rPr>
      </w:pPr>
      <w:r>
        <w:rPr>
          <w:rFonts w:hint="eastAsia" w:asciiTheme="minorEastAsia" w:hAnsiTheme="minorEastAsia"/>
          <w:szCs w:val="21"/>
        </w:rPr>
        <w:t>尽管案例教学的方法较为多样，但不同高校仍根据本校专业的培养目标等特色，选择适当的教学方式。如</w:t>
      </w:r>
      <w:r>
        <w:rPr>
          <w:rFonts w:asciiTheme="minorEastAsia" w:hAnsiTheme="minorEastAsia"/>
          <w:szCs w:val="21"/>
        </w:rPr>
        <w:t>复旦法学院创立</w:t>
      </w:r>
      <w:r>
        <w:rPr>
          <w:rFonts w:hint="eastAsia" w:asciiTheme="minorEastAsia" w:hAnsiTheme="minorEastAsia"/>
          <w:szCs w:val="21"/>
        </w:rPr>
        <w:t>了“</w:t>
      </w:r>
      <w:r>
        <w:rPr>
          <w:rFonts w:asciiTheme="minorEastAsia" w:hAnsiTheme="minorEastAsia"/>
          <w:szCs w:val="21"/>
        </w:rPr>
        <w:t>个案全过程教学法”</w:t>
      </w:r>
      <w:r>
        <w:rPr>
          <w:rFonts w:hint="eastAsia" w:asciiTheme="minorEastAsia" w:hAnsiTheme="minorEastAsia"/>
          <w:szCs w:val="21"/>
        </w:rPr>
        <w:t>，</w:t>
      </w:r>
      <w:r>
        <w:rPr>
          <w:rFonts w:asciiTheme="minorEastAsia" w:hAnsiTheme="minorEastAsia"/>
          <w:szCs w:val="21"/>
        </w:rPr>
        <w:t>通过选取个案全过程材料，</w:t>
      </w:r>
      <w:r>
        <w:rPr>
          <w:rFonts w:hint="eastAsia" w:asciiTheme="minorEastAsia" w:hAnsiTheme="minorEastAsia"/>
          <w:szCs w:val="21"/>
        </w:rPr>
        <w:t>弥补</w:t>
      </w:r>
      <w:r>
        <w:rPr>
          <w:rFonts w:asciiTheme="minorEastAsia" w:hAnsiTheme="minorEastAsia"/>
          <w:szCs w:val="21"/>
        </w:rPr>
        <w:t>判决说理部分过于简单的问题；解决学科划分所造成的教学案例与现实案例不完全接轨的问题，提升学生综合运用法律知识的能力；以</w:t>
      </w:r>
      <w:r>
        <w:rPr>
          <w:rFonts w:hint="eastAsia" w:asciiTheme="minorEastAsia" w:hAnsiTheme="minorEastAsia"/>
          <w:szCs w:val="21"/>
        </w:rPr>
        <w:t>律师在个案全过程的活动为导向使</w:t>
      </w:r>
      <w:r>
        <w:rPr>
          <w:rFonts w:asciiTheme="minorEastAsia" w:hAnsiTheme="minorEastAsia"/>
          <w:szCs w:val="21"/>
        </w:rPr>
        <w:t>学生</w:t>
      </w:r>
      <w:r>
        <w:rPr>
          <w:rFonts w:hint="eastAsia" w:asciiTheme="minorEastAsia" w:hAnsiTheme="minorEastAsia"/>
          <w:szCs w:val="21"/>
        </w:rPr>
        <w:t>得到</w:t>
      </w:r>
      <w:r>
        <w:rPr>
          <w:rFonts w:asciiTheme="minorEastAsia" w:hAnsiTheme="minorEastAsia"/>
          <w:szCs w:val="21"/>
        </w:rPr>
        <w:t>全方位的模拟训练。</w:t>
      </w:r>
      <w:r>
        <w:rPr>
          <w:rFonts w:hint="eastAsia" w:asciiTheme="minorEastAsia" w:hAnsiTheme="minorEastAsia"/>
          <w:szCs w:val="21"/>
          <w:vertAlign w:val="superscript"/>
        </w:rPr>
        <w:t>[1]41</w:t>
      </w:r>
      <w:r>
        <w:rPr>
          <w:rFonts w:hint="eastAsia" w:asciiTheme="minorEastAsia" w:hAnsiTheme="minorEastAsia"/>
          <w:szCs w:val="21"/>
        </w:rPr>
        <w:t xml:space="preserve"> 如中华女子学院的法律诊所立足于服务妇女儿童的理念，结合妇女法</w:t>
      </w:r>
      <w:r>
        <w:rPr>
          <w:rFonts w:asciiTheme="minorEastAsia" w:hAnsiTheme="minorEastAsia"/>
          <w:szCs w:val="21"/>
        </w:rPr>
        <w:t>、性别与法律、公益诉讼等特色课程，注重参与式教学，引入社会性别视角，突出培养学生维护妇女、儿童等弱势群体合法权益的能力，注重培养学生的社会适应能力、创新能力和实务操作能力。</w:t>
      </w:r>
      <w:r>
        <w:rPr>
          <w:rFonts w:hint="eastAsia" w:asciiTheme="minorEastAsia" w:hAnsiTheme="minorEastAsia"/>
          <w:szCs w:val="21"/>
          <w:vertAlign w:val="superscript"/>
        </w:rPr>
        <w:t>[2]</w:t>
      </w:r>
      <w:r>
        <w:rPr>
          <w:rFonts w:hint="eastAsia" w:asciiTheme="minorEastAsia" w:hAnsiTheme="minorEastAsia"/>
          <w:szCs w:val="21"/>
        </w:rPr>
        <w:t xml:space="preserve"> 不同高校在选择案例教学的方法和具体的教学过程安排中应根据各自的专业特色，体现本校专业理念，培养更为专业化和精细化的实践人才。我校法学专业历来重视实践教学，以培养应用型人才为目标，重视案例教学方法的应用。不仅在理论课堂上结合案例分析，在案例教学上也形成了法律实务、模拟法庭、律师实训为一体的课程体系，建立了法律援助中心，长期聘请具有丰富实践经验的实务界人士讲授实践课程。</w:t>
      </w:r>
    </w:p>
    <w:p>
      <w:pPr>
        <w:spacing w:line="400" w:lineRule="exact"/>
        <w:ind w:firstLine="420" w:firstLineChars="200"/>
        <w:rPr>
          <w:rFonts w:asciiTheme="minorEastAsia" w:hAnsiTheme="minorEastAsia"/>
          <w:szCs w:val="21"/>
        </w:rPr>
      </w:pPr>
      <w:r>
        <w:rPr>
          <w:rFonts w:hint="eastAsia" w:asciiTheme="minorEastAsia" w:hAnsiTheme="minorEastAsia"/>
          <w:szCs w:val="21"/>
        </w:rPr>
        <w:t>综合各校案例教学经验，传统的法学案例教学多放在诉讼案例上，注重在法学专业理论基础上推理能力和辩论技巧的培养。无论是课堂案例分析，还是诊所式教学，更多的采取诉讼案例作为教学材料。这些能力的培养是法学专业必须具备的。但同时，随着多元纠纷解决机制的逐步建立，在法学专业教学中，除了传统逻辑推理和辩论技巧的培养，需要顺应多元纠纷解决机制的现状和需要，增加非诉讼纠纷化解技能的培养。</w:t>
      </w:r>
    </w:p>
    <w:p>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二、多元化纠纷解决背景下的社区纠纷化解</w:t>
      </w:r>
    </w:p>
    <w:p>
      <w:pPr>
        <w:spacing w:line="400" w:lineRule="exact"/>
        <w:ind w:firstLine="422" w:firstLineChars="200"/>
        <w:rPr>
          <w:rFonts w:asciiTheme="minorEastAsia" w:hAnsiTheme="minorEastAsia"/>
          <w:b/>
          <w:szCs w:val="21"/>
        </w:rPr>
      </w:pPr>
      <w:r>
        <w:rPr>
          <w:rFonts w:hint="eastAsia" w:asciiTheme="minorEastAsia" w:hAnsiTheme="minorEastAsia"/>
          <w:b/>
          <w:szCs w:val="21"/>
        </w:rPr>
        <w:t>（一）多元化纠纷解决机制的形成</w:t>
      </w:r>
    </w:p>
    <w:p>
      <w:pPr>
        <w:spacing w:line="400" w:lineRule="exact"/>
        <w:ind w:firstLine="420" w:firstLineChars="200"/>
        <w:rPr>
          <w:rFonts w:asciiTheme="minorEastAsia" w:hAnsiTheme="minorEastAsia"/>
          <w:szCs w:val="21"/>
        </w:rPr>
      </w:pPr>
      <w:r>
        <w:rPr>
          <w:rFonts w:hint="eastAsia" w:asciiTheme="minorEastAsia" w:hAnsiTheme="minorEastAsia"/>
          <w:szCs w:val="21"/>
        </w:rPr>
        <w:t>除了传统的诉讼方式，非诉方式在社会基层中的纠纷解决中起着非常重要的作用，如调解制度。调解方式在我国纠纷化解中的广泛运用，和我国的历史传统和现实情况密不可分。</w:t>
      </w:r>
      <w:r>
        <w:rPr>
          <w:rFonts w:asciiTheme="minorEastAsia" w:hAnsiTheme="minorEastAsia"/>
          <w:szCs w:val="21"/>
        </w:rPr>
        <w:t>奥尔巴克</w:t>
      </w:r>
      <w:r>
        <w:rPr>
          <w:rFonts w:hint="eastAsia" w:asciiTheme="minorEastAsia" w:hAnsiTheme="minorEastAsia"/>
          <w:szCs w:val="21"/>
        </w:rPr>
        <w:t>在</w:t>
      </w:r>
      <w:r>
        <w:rPr>
          <w:rFonts w:asciiTheme="minorEastAsia" w:hAnsiTheme="minorEastAsia"/>
          <w:szCs w:val="21"/>
        </w:rPr>
        <w:t>《没有法律的公正》</w:t>
      </w:r>
      <w:r>
        <w:rPr>
          <w:rFonts w:hint="eastAsia" w:asciiTheme="minorEastAsia" w:hAnsiTheme="minorEastAsia"/>
          <w:szCs w:val="21"/>
        </w:rPr>
        <w:t>中曾说：“</w:t>
      </w:r>
      <w:r>
        <w:rPr>
          <w:rFonts w:asciiTheme="minorEastAsia" w:hAnsiTheme="minorEastAsia"/>
          <w:szCs w:val="21"/>
        </w:rPr>
        <w:t>在任何社会中，因个人争端而引起的冲突存在着不同的解决途径。诉讼仅是避免由冲突到暴力等诸多可能性其中的一种选择。解决争端的多样性，以及任何文化中存在的对这些方法的社会性选择，宣示出有关社会中人们的理想、对自身的认识以及人际关系的特质。它们表明，人们是希望避免冲突、抑或鼓励冲突，是压制问题或友好解决问题，在解决争端的过程中，该社会中最基本的社会价值便体现出来。</w:t>
      </w:r>
      <w:r>
        <w:rPr>
          <w:rFonts w:hint="eastAsia" w:asciiTheme="minorEastAsia" w:hAnsiTheme="minorEastAsia"/>
          <w:szCs w:val="21"/>
        </w:rPr>
        <w:t>”</w:t>
      </w:r>
      <w:r>
        <w:rPr>
          <w:rFonts w:hint="eastAsia" w:asciiTheme="minorEastAsia" w:hAnsiTheme="minorEastAsia"/>
          <w:szCs w:val="21"/>
          <w:vertAlign w:val="superscript"/>
        </w:rPr>
        <w:t>[3]</w:t>
      </w:r>
      <w:r>
        <w:rPr>
          <w:rFonts w:hint="eastAsia" w:asciiTheme="minorEastAsia" w:hAnsiTheme="minorEastAsia"/>
          <w:szCs w:val="21"/>
        </w:rPr>
        <w:t xml:space="preserve"> 2017年10月，我国最高人民法院和司法部共同发布了《关于开展律师调解试点工作的意见》，体现了我国当前多元纠纷解决方式的特点，进一步推进了多元化纠纷化解的实践。《意见》指出，开展律师调解是完善我国诉讼制度的创新性举措，有利于及时化解民商事纠纷，有效缓解法院“案多人少”的矛盾，节约司法资源和诉讼成本，推动形成中国特色多元化纠纷解决体系。</w:t>
      </w:r>
    </w:p>
    <w:p>
      <w:pPr>
        <w:spacing w:line="400" w:lineRule="exact"/>
        <w:ind w:firstLine="422" w:firstLineChars="200"/>
        <w:rPr>
          <w:rFonts w:asciiTheme="minorEastAsia" w:hAnsiTheme="minorEastAsia"/>
          <w:b/>
          <w:szCs w:val="21"/>
        </w:rPr>
      </w:pPr>
      <w:r>
        <w:rPr>
          <w:rFonts w:hint="eastAsia" w:asciiTheme="minorEastAsia" w:hAnsiTheme="minorEastAsia"/>
          <w:b/>
          <w:szCs w:val="21"/>
        </w:rPr>
        <w:t>（二）社区纠纷化解在社会治理中的重要作用</w:t>
      </w:r>
    </w:p>
    <w:p>
      <w:pPr>
        <w:spacing w:line="400" w:lineRule="exact"/>
        <w:ind w:firstLine="420" w:firstLineChars="200"/>
        <w:rPr>
          <w:rFonts w:asciiTheme="minorEastAsia" w:hAnsiTheme="minorEastAsia"/>
          <w:szCs w:val="21"/>
        </w:rPr>
      </w:pPr>
      <w:r>
        <w:rPr>
          <w:rFonts w:hint="eastAsia" w:asciiTheme="minorEastAsia" w:hAnsiTheme="minorEastAsia"/>
          <w:szCs w:val="21"/>
        </w:rPr>
        <w:t>社会矛盾冲突化解是社会治理的目标之一，需要多元化纠纷解决机制，而在社会矛盾冲突化解当中，社区冲突的化解占据重要地位。社区是国家和社会的连接点，是城市基层的社会共同体，同时也是各种社会矛盾的交汇点。由于我国处在经济迅速发展的黄金期，各类社会矛盾和社会问题也随着利益格局和社会阶层的变化而凸显，贫富差距导致人们心理不平衡，各种不满情绪、工作压力、精神紧张，价值观念和生活方式的巨大变化带来的不适应，人口流动的频繁，都使得城市管理和社会治理的难度越来越大。这些影响社会稳定的因素虽然都是社会层面的，但却真真实实发生在社区里。作为城市基层“微小细胞”，社区冲突化解是民事纠纷化解的第一站，需要专业的法律服务人员在社区从事相关法律服务工作，这也是多元化纠纷解决机制中的重要部分。</w:t>
      </w:r>
    </w:p>
    <w:p>
      <w:pPr>
        <w:spacing w:line="400" w:lineRule="exact"/>
        <w:ind w:firstLine="420" w:firstLineChars="200"/>
        <w:rPr>
          <w:rFonts w:asciiTheme="minorEastAsia" w:hAnsiTheme="minorEastAsia"/>
          <w:szCs w:val="21"/>
        </w:rPr>
      </w:pPr>
      <w:r>
        <w:rPr>
          <w:rFonts w:hint="eastAsia" w:asciiTheme="minorEastAsia" w:hAnsiTheme="minorEastAsia"/>
          <w:szCs w:val="21"/>
        </w:rPr>
        <w:t>基于社区在城市和社会治理中的重要地位，社区纠纷化解对社会治理的重要作用，作为纠纷化解机制中重要的学科力量法学专业的教学也需要对此作出积极回应，以社区法律服务需求、解决社区冲突为导向，结合多元化纠纷化解的方式，研究在法学本科教学中对学生进行多层次、多方面能力培养。</w:t>
      </w:r>
    </w:p>
    <w:p>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三、社区法律服务现状——以H街道社区为例</w:t>
      </w:r>
    </w:p>
    <w:p>
      <w:pPr>
        <w:spacing w:line="400" w:lineRule="exact"/>
        <w:ind w:firstLine="420" w:firstLineChars="200"/>
        <w:rPr>
          <w:rFonts w:asciiTheme="minorEastAsia" w:hAnsiTheme="minorEastAsia"/>
          <w:szCs w:val="21"/>
        </w:rPr>
      </w:pPr>
      <w:r>
        <w:rPr>
          <w:rFonts w:hint="eastAsia" w:asciiTheme="minorEastAsia" w:hAnsiTheme="minorEastAsia"/>
          <w:szCs w:val="21"/>
        </w:rPr>
        <w:t>城市社区的法律服务与社区的现状存在紧密联系。以北京市北三环附近的某街道的社区为例。选取该街道的社区作为受访对象，主要基于它的地理位置和社区的居民构成的特点。该街道各社区地理位置优越，位于北三环边，北边与某著名三甲医院相邻。社区管辖的范围大，住宅楼曾经属于不同单位，既有回迁楼，也有银行、中纪委、邮电等单位的公房。但经过几十年的发展变化，居住人口的构成情况已非常复杂。该社区具有老旧社区的典型特点，加之位置优越，流动人口众多，因此民事纠纷较多，社区调解的压力比较大。为了了解社区的法律服务情况，采取问卷调查和访谈的方式进行调研。</w:t>
      </w:r>
    </w:p>
    <w:p>
      <w:pPr>
        <w:spacing w:line="400" w:lineRule="exact"/>
        <w:ind w:firstLine="422" w:firstLineChars="200"/>
        <w:rPr>
          <w:rFonts w:asciiTheme="minorEastAsia" w:hAnsiTheme="minorEastAsia"/>
          <w:b/>
          <w:szCs w:val="21"/>
        </w:rPr>
      </w:pPr>
      <w:r>
        <w:rPr>
          <w:rFonts w:hint="eastAsia" w:asciiTheme="minorEastAsia" w:hAnsiTheme="minorEastAsia"/>
          <w:b/>
          <w:szCs w:val="21"/>
        </w:rPr>
        <w:t>（一）受访社区的纠纷特点及居民对社区法律服务的需求和满意度调查</w:t>
      </w:r>
    </w:p>
    <w:p>
      <w:pPr>
        <w:spacing w:line="400" w:lineRule="exact"/>
        <w:ind w:firstLine="420" w:firstLineChars="200"/>
        <w:rPr>
          <w:rFonts w:asciiTheme="minorEastAsia" w:hAnsiTheme="minorEastAsia"/>
          <w:szCs w:val="21"/>
        </w:rPr>
      </w:pPr>
      <w:r>
        <w:rPr>
          <w:rFonts w:hint="eastAsia" w:asciiTheme="minorEastAsia" w:hAnsiTheme="minorEastAsia"/>
          <w:szCs w:val="21"/>
        </w:rPr>
        <w:t>经过问卷调查的发放和回收，共回收194份问卷。通过对回收问卷的梳理，以及对社区民事调解专业人员的访谈，受访社区的法律服务形式、效果等问题的反馈如下：</w:t>
      </w:r>
    </w:p>
    <w:p>
      <w:pPr>
        <w:spacing w:line="400" w:lineRule="exact"/>
        <w:ind w:firstLine="420" w:firstLineChars="200"/>
        <w:rPr>
          <w:rFonts w:asciiTheme="minorEastAsia" w:hAnsiTheme="minorEastAsia"/>
          <w:szCs w:val="21"/>
        </w:rPr>
      </w:pPr>
      <w:r>
        <w:rPr>
          <w:rFonts w:hint="eastAsia" w:asciiTheme="minorEastAsia" w:hAnsiTheme="minorEastAsia"/>
          <w:szCs w:val="21"/>
        </w:rPr>
        <w:t>1.社区提供的法律服务形式。从图1可见，社区提供法律服务的形式较为单一，多为普法宣传、讲座和培训。</w:t>
      </w:r>
    </w:p>
    <w:p>
      <w:pPr>
        <w:spacing w:line="360" w:lineRule="auto"/>
        <w:rPr>
          <w:rFonts w:asciiTheme="minorEastAsia" w:hAnsiTheme="minorEastAsia"/>
          <w:szCs w:val="21"/>
        </w:rPr>
      </w:pPr>
      <w:r>
        <w:rPr>
          <w:rFonts w:hint="eastAsia" w:asciiTheme="minorEastAsia" w:hAnsiTheme="minorEastAsia"/>
          <w:szCs w:val="21"/>
        </w:rPr>
        <w:drawing>
          <wp:inline distT="0" distB="0" distL="0" distR="0">
            <wp:extent cx="5067300" cy="2657475"/>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420" w:firstLineChars="200"/>
        <w:jc w:val="center"/>
        <w:rPr>
          <w:rFonts w:asciiTheme="minorEastAsia" w:hAnsiTheme="minorEastAsia"/>
          <w:szCs w:val="21"/>
        </w:rPr>
      </w:pPr>
      <w:r>
        <w:rPr>
          <w:rFonts w:asciiTheme="minorEastAsia" w:hAnsiTheme="minorEastAsia"/>
          <w:bCs/>
          <w:szCs w:val="21"/>
        </w:rPr>
        <w:t>图1：</w:t>
      </w:r>
      <w:r>
        <w:rPr>
          <w:rFonts w:hint="eastAsia" w:asciiTheme="minorEastAsia" w:hAnsiTheme="minorEastAsia"/>
          <w:bCs/>
          <w:szCs w:val="21"/>
        </w:rPr>
        <w:t>受访居民</w:t>
      </w:r>
      <w:r>
        <w:rPr>
          <w:rFonts w:asciiTheme="minorEastAsia" w:hAnsiTheme="minorEastAsia"/>
          <w:bCs/>
          <w:szCs w:val="21"/>
        </w:rPr>
        <w:t>所在社区提供的法律服务形式</w:t>
      </w:r>
    </w:p>
    <w:p>
      <w:pPr>
        <w:ind w:firstLine="420" w:firstLineChars="200"/>
        <w:jc w:val="center"/>
        <w:rPr>
          <w:rFonts w:asciiTheme="minorEastAsia" w:hAnsiTheme="minorEastAsia"/>
          <w:szCs w:val="21"/>
        </w:rPr>
      </w:pPr>
    </w:p>
    <w:p>
      <w:pPr>
        <w:spacing w:line="400" w:lineRule="exact"/>
        <w:ind w:firstLine="420" w:firstLine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color w:val="000000"/>
          <w:szCs w:val="21"/>
        </w:rPr>
        <w:t xml:space="preserve"> 居民认可的法律服务途径。</w:t>
      </w:r>
      <w:r>
        <w:rPr>
          <w:rFonts w:hint="eastAsia" w:asciiTheme="minorEastAsia" w:hAnsiTheme="minorEastAsia"/>
          <w:szCs w:val="21"/>
        </w:rPr>
        <w:t>从图2可见，在社区居民看来，认为律师专业服务最为有效的占32%，而社区、居委会的帮助只占到13%。</w:t>
      </w:r>
    </w:p>
    <w:p>
      <w:pPr>
        <w:rPr>
          <w:rFonts w:asciiTheme="minorEastAsia" w:hAnsiTheme="minorEastAsia"/>
          <w:szCs w:val="21"/>
        </w:rPr>
      </w:pPr>
      <w:r>
        <w:rPr>
          <w:rFonts w:hint="eastAsia" w:asciiTheme="minorEastAsia" w:hAnsiTheme="minorEastAsia"/>
          <w:szCs w:val="21"/>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400" w:lineRule="exact"/>
        <w:ind w:firstLine="420" w:firstLineChars="200"/>
        <w:jc w:val="center"/>
        <w:rPr>
          <w:rFonts w:asciiTheme="minorEastAsia" w:hAnsiTheme="minorEastAsia"/>
          <w:szCs w:val="21"/>
        </w:rPr>
      </w:pPr>
      <w:r>
        <w:rPr>
          <w:rFonts w:asciiTheme="minorEastAsia" w:hAnsiTheme="minorEastAsia"/>
          <w:bCs/>
          <w:szCs w:val="21"/>
        </w:rPr>
        <w:t>图2：何种途径的法律服务解决问题最有效率</w:t>
      </w:r>
    </w:p>
    <w:p>
      <w:pPr>
        <w:spacing w:line="400" w:lineRule="exact"/>
        <w:ind w:firstLine="420" w:firstLineChars="200"/>
        <w:jc w:val="center"/>
        <w:rPr>
          <w:rFonts w:asciiTheme="minorEastAsia" w:hAnsiTheme="minorEastAsia"/>
          <w:szCs w:val="21"/>
        </w:rPr>
      </w:pPr>
    </w:p>
    <w:p>
      <w:pPr>
        <w:spacing w:line="400" w:lineRule="exact"/>
        <w:ind w:firstLine="420" w:firstLineChars="200"/>
        <w:rPr>
          <w:rFonts w:asciiTheme="minorEastAsia" w:hAnsiTheme="minorEastAsia"/>
          <w:szCs w:val="21"/>
        </w:rPr>
      </w:pPr>
      <w:r>
        <w:rPr>
          <w:rFonts w:hint="eastAsia" w:asciiTheme="minorEastAsia" w:hAnsiTheme="minorEastAsia"/>
          <w:szCs w:val="21"/>
        </w:rPr>
        <w:t>3.社区现有法律服务与居民需求之间的差距。从图3可见，66%的受访居民认为现有社区法律服务现状不能满足居民需要。由此可见，目前社区对于专业法律服务的需求仍然是很大的。</w:t>
      </w:r>
    </w:p>
    <w:p>
      <w:pPr>
        <w:rPr>
          <w:rFonts w:asciiTheme="minorEastAsia" w:hAnsiTheme="minorEastAsia"/>
          <w:szCs w:val="21"/>
        </w:rPr>
      </w:pPr>
      <w:r>
        <w:rPr>
          <w:rFonts w:asciiTheme="minorEastAsia" w:hAnsiTheme="minorEastAsia"/>
          <w:szCs w:val="21"/>
        </w:rPr>
        <w:drawing>
          <wp:inline distT="0" distB="0" distL="0" distR="0">
            <wp:extent cx="5274310" cy="3076575"/>
            <wp:effectExtent l="19050" t="0" r="21590" b="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3130"/>
        </w:tabs>
        <w:spacing w:line="360" w:lineRule="auto"/>
        <w:ind w:firstLine="420" w:firstLineChars="200"/>
        <w:jc w:val="center"/>
        <w:rPr>
          <w:rFonts w:asciiTheme="minorEastAsia" w:hAnsiTheme="minorEastAsia"/>
          <w:szCs w:val="21"/>
        </w:rPr>
      </w:pPr>
      <w:r>
        <w:rPr>
          <w:rFonts w:asciiTheme="minorEastAsia" w:hAnsiTheme="minorEastAsia"/>
          <w:bCs/>
          <w:szCs w:val="21"/>
        </w:rPr>
        <w:t>图3：现有的社区法律服务的现状能否满足居民需要</w:t>
      </w:r>
    </w:p>
    <w:p>
      <w:pPr>
        <w:tabs>
          <w:tab w:val="left" w:pos="3130"/>
        </w:tabs>
        <w:spacing w:line="360" w:lineRule="auto"/>
        <w:ind w:firstLine="420" w:firstLineChars="200"/>
        <w:jc w:val="center"/>
        <w:rPr>
          <w:rFonts w:asciiTheme="minorEastAsia" w:hAnsiTheme="minorEastAsia"/>
          <w:szCs w:val="21"/>
        </w:rPr>
      </w:pPr>
    </w:p>
    <w:p>
      <w:pPr>
        <w:spacing w:line="400" w:lineRule="exact"/>
        <w:ind w:firstLine="420" w:firstLineChars="200"/>
        <w:rPr>
          <w:rFonts w:asciiTheme="minorEastAsia" w:hAnsiTheme="minorEastAsia"/>
          <w:szCs w:val="21"/>
        </w:rPr>
      </w:pPr>
      <w:r>
        <w:rPr>
          <w:rFonts w:hint="eastAsia" w:asciiTheme="minorEastAsia" w:hAnsiTheme="minorEastAsia"/>
          <w:szCs w:val="21"/>
        </w:rPr>
        <w:t>4.以受访社区为例，社区纠纷和问题主要包括以下几个方面：</w:t>
      </w:r>
    </w:p>
    <w:p>
      <w:pPr>
        <w:spacing w:line="400" w:lineRule="exact"/>
        <w:ind w:firstLine="420" w:firstLineChars="200"/>
        <w:rPr>
          <w:rFonts w:asciiTheme="minorEastAsia" w:hAnsiTheme="minorEastAsia"/>
          <w:szCs w:val="21"/>
        </w:rPr>
      </w:pPr>
      <w:r>
        <w:rPr>
          <w:rFonts w:hint="eastAsia" w:asciiTheme="minorEastAsia" w:hAnsiTheme="minorEastAsia"/>
          <w:szCs w:val="21"/>
        </w:rPr>
        <w:t>一是人员流动大，卫生、噪音、扰民等问题较突出。由于位置的优越性，紧邻著名医院，社区很多居民楼都已出租，甚至有很多打成隔断出租，人员流动很大，流动人口多，造成很多的问题与纠纷，如卫生、扰民、噪音等。现有法律规范约束房东的较少，出于利益问题，房东很少对流动人口的问题进行干涉，居民投诉的较多，邻里关系纠纷较多。</w:t>
      </w:r>
    </w:p>
    <w:p>
      <w:pPr>
        <w:spacing w:line="400" w:lineRule="exact"/>
        <w:ind w:firstLine="420" w:firstLineChars="200"/>
        <w:rPr>
          <w:rFonts w:asciiTheme="minorEastAsia" w:hAnsiTheme="minorEastAsia"/>
          <w:szCs w:val="21"/>
        </w:rPr>
      </w:pPr>
      <w:r>
        <w:rPr>
          <w:rFonts w:hint="eastAsia" w:asciiTheme="minorEastAsia" w:hAnsiTheme="minorEastAsia"/>
          <w:szCs w:val="21"/>
        </w:rPr>
        <w:t>二是物业管理不善，造成物业纠纷也较多。社区虽然聘请了物业公司，但由于各种原因社区里的小区未成立业委会和业主大会，居民缺乏有效约束物业公司的途径。物业公司长期管理不善，造成居民与物业之间的纠纷也较多。</w:t>
      </w:r>
    </w:p>
    <w:p>
      <w:pPr>
        <w:spacing w:line="400" w:lineRule="exact"/>
        <w:ind w:firstLine="420" w:firstLineChars="200"/>
        <w:rPr>
          <w:rFonts w:asciiTheme="minorEastAsia" w:hAnsiTheme="minorEastAsia"/>
          <w:szCs w:val="21"/>
        </w:rPr>
      </w:pPr>
      <w:r>
        <w:rPr>
          <w:rFonts w:hint="eastAsia" w:asciiTheme="minorEastAsia" w:hAnsiTheme="minorEastAsia"/>
          <w:szCs w:val="21"/>
        </w:rPr>
        <w:t>三是老旧社区居民家庭纠纷较多。社区老居民很多文化层次不高，但因北京房价近些年高涨，小区房屋价值较高，因利益分配的问题，也带来了财产继承等一系列相关的家庭纠纷。</w:t>
      </w:r>
    </w:p>
    <w:p>
      <w:pPr>
        <w:spacing w:line="400" w:lineRule="exact"/>
        <w:ind w:firstLine="420" w:firstLineChars="200"/>
        <w:rPr>
          <w:rFonts w:asciiTheme="minorEastAsia" w:hAnsiTheme="minorEastAsia"/>
          <w:szCs w:val="21"/>
        </w:rPr>
      </w:pPr>
      <w:r>
        <w:rPr>
          <w:rFonts w:hint="eastAsia" w:asciiTheme="minorEastAsia" w:hAnsiTheme="minorEastAsia"/>
          <w:szCs w:val="21"/>
        </w:rPr>
        <w:t>四是老龄化问题凸显。社区属于老旧小区，很多居民都已经步入老年，老年人的养老问题日益凸显。一些家庭的养老、赡养问题与财产继承相交织，一些家庭没有经济纠纷，但空巢老人缺乏来自亲人的精神慰藉。因此，也产生了较多的家庭纠纷。</w:t>
      </w:r>
    </w:p>
    <w:p>
      <w:pPr>
        <w:spacing w:line="400" w:lineRule="exact"/>
        <w:ind w:firstLine="422" w:firstLineChars="200"/>
        <w:rPr>
          <w:rFonts w:asciiTheme="minorEastAsia" w:hAnsiTheme="minorEastAsia"/>
          <w:b/>
          <w:szCs w:val="21"/>
        </w:rPr>
      </w:pPr>
      <w:r>
        <w:rPr>
          <w:rFonts w:hint="eastAsia" w:asciiTheme="minorEastAsia" w:hAnsiTheme="minorEastAsia"/>
          <w:b/>
          <w:szCs w:val="21"/>
        </w:rPr>
        <w:t>（二）社区需要法律服务人才的特点</w:t>
      </w:r>
    </w:p>
    <w:p>
      <w:pPr>
        <w:spacing w:line="400" w:lineRule="exact"/>
        <w:ind w:firstLine="420" w:firstLineChars="200"/>
        <w:rPr>
          <w:rFonts w:asciiTheme="minorEastAsia" w:hAnsiTheme="minorEastAsia"/>
          <w:szCs w:val="21"/>
        </w:rPr>
      </w:pPr>
      <w:r>
        <w:rPr>
          <w:rFonts w:hint="eastAsia" w:asciiTheme="minorEastAsia" w:hAnsiTheme="minorEastAsia"/>
          <w:szCs w:val="21"/>
        </w:rPr>
        <w:t>传统的法学教学基本对应律师、法官、检察官等职业定位进行培养，但在我国城市化的发展中，社区作为城市发展中的基层组织，承担着越来越重要的纠纷调处功能，同样需要大量的社区法律服务人员。正如前所述，社区的法律服务的现状也不能满足现有居民的需求，人才的缺口比较大。再者，北城法学专业经过与社会工作专业的融合，社区服务和社区治理是法学专业的特色之一，如何培养适应社区法律服务需要的人才，是法学专业教学需要深入思考的问题。</w:t>
      </w:r>
    </w:p>
    <w:p>
      <w:pPr>
        <w:spacing w:line="400" w:lineRule="exact"/>
        <w:ind w:firstLine="420" w:firstLineChars="200"/>
        <w:rPr>
          <w:rFonts w:asciiTheme="minorEastAsia" w:hAnsiTheme="minorEastAsia"/>
          <w:szCs w:val="21"/>
        </w:rPr>
      </w:pPr>
      <w:r>
        <w:rPr>
          <w:rFonts w:hint="eastAsia" w:asciiTheme="minorEastAsia" w:hAnsiTheme="minorEastAsia"/>
          <w:szCs w:val="21"/>
        </w:rPr>
        <w:t>为了使人才培养更加具有针对性和特色，分别与和社区管理人员、从事民事调解的工作人员，以及律师行业的专业人员进行了初步的访谈，了解社区法律服务所需要的人才应该具备何种能力，期望在专业教学中增加能力层次的培养，弥补社区法律服务人才培养的不足。</w:t>
      </w:r>
    </w:p>
    <w:p>
      <w:pPr>
        <w:spacing w:line="400" w:lineRule="exact"/>
        <w:ind w:firstLine="420" w:firstLineChars="200"/>
        <w:rPr>
          <w:rFonts w:asciiTheme="minorEastAsia" w:hAnsiTheme="minorEastAsia"/>
          <w:szCs w:val="21"/>
        </w:rPr>
      </w:pPr>
      <w:r>
        <w:rPr>
          <w:rFonts w:hint="eastAsia" w:asciiTheme="minorEastAsia" w:hAnsiTheme="minorEastAsia"/>
          <w:szCs w:val="21"/>
        </w:rPr>
        <w:t>1.社区需要的法律服务人才的特殊要求。 首先，社区工作需要非常丰富的阅历和经验，尤其矛盾纠纷涉及到利益的问题，看似小事，处理不当可能会激化矛盾，甚至引起上访或群体性纠纷。其次，根据社区从事民事调解的人员反馈，在社区法律服务中，虽然基本的法律专业知识很重要，但在一些案例中，当事人情感的需要大于专业的认知。因此，民事调解人员不仅需要专业知识，更需要生活阅历、情商、共情、同理心。法律的规定是硬性的，但很多社区居民纠纷的是非曲直并非一句话能说清楚，尤其涉及到家庭纠纷，情、理、法缺一不可。社区法律服务人员既要应对众多法律问题的咨询，也要学会倾听，能够给居民疏导心理和缓解情绪。</w:t>
      </w:r>
    </w:p>
    <w:p>
      <w:pPr>
        <w:spacing w:line="400" w:lineRule="exact"/>
        <w:ind w:firstLine="420" w:firstLineChars="200"/>
        <w:rPr>
          <w:rFonts w:asciiTheme="minorEastAsia" w:hAnsiTheme="minorEastAsia"/>
          <w:szCs w:val="21"/>
        </w:rPr>
      </w:pPr>
      <w:r>
        <w:rPr>
          <w:rFonts w:hint="eastAsia" w:asciiTheme="minorEastAsia" w:hAnsiTheme="minorEastAsia"/>
          <w:bCs/>
          <w:szCs w:val="21"/>
        </w:rPr>
        <w:t>2.城市化背景下的</w:t>
      </w:r>
      <w:r>
        <w:rPr>
          <w:rFonts w:hint="eastAsia" w:asciiTheme="minorEastAsia" w:hAnsiTheme="minorEastAsia"/>
          <w:szCs w:val="21"/>
        </w:rPr>
        <w:t>律师职业新要求。 在与资深律师进行的访谈中，许多律师提到，目前法学本科教学中除了法律规范的学习之外，还需要大量的其他专业学科的知识。</w:t>
      </w:r>
      <w:r>
        <w:rPr>
          <w:rFonts w:hint="eastAsia" w:asciiTheme="minorEastAsia" w:hAnsiTheme="minorEastAsia"/>
          <w:bCs/>
          <w:szCs w:val="21"/>
        </w:rPr>
        <w:t>除了掌握传统的法律知识和法律逻辑之外，写作能力、沟通能力和互联网+思维也非常重要。尤其提到，要让学生了解新时代新科技对法律职业的变革影响，用新的思维去从事律师职业。</w:t>
      </w:r>
      <w:r>
        <w:rPr>
          <w:rFonts w:hint="eastAsia" w:asciiTheme="minorEastAsia" w:hAnsiTheme="minorEastAsia"/>
          <w:szCs w:val="21"/>
        </w:rPr>
        <w:t>法律规范的解读较为格式化，但真实工作中面临的环境需要多种技能、知识和素养。甚至一些资深律师建议法学本科专业课程设置应一半为法学，另一半根据方向选择为外专业课程。</w:t>
      </w:r>
    </w:p>
    <w:p>
      <w:pPr>
        <w:spacing w:line="400" w:lineRule="exact"/>
        <w:ind w:firstLine="420" w:firstLineChars="200"/>
        <w:rPr>
          <w:rFonts w:asciiTheme="minorEastAsia" w:hAnsiTheme="minorEastAsia"/>
          <w:szCs w:val="21"/>
        </w:rPr>
      </w:pPr>
      <w:r>
        <w:rPr>
          <w:rFonts w:hint="eastAsia" w:asciiTheme="minorEastAsia" w:hAnsiTheme="minorEastAsia"/>
          <w:szCs w:val="21"/>
        </w:rPr>
        <w:t>目前，北京市正在大力推动律师参与调解工作，一部分调解即面向社区，为社区法律纠纷的解决提供助力。这也提醒法学教育从业者，不同法律职业领域之间正在逐渐交叉融合，不管从事哪个领域，都需要具备基本的知识基础和技能素养。法学教学既不能抱残守旧，也不能舍本求末。社区需要的法律服务人才，也是社会需要的法律服务人才，而不局限于某一职业。首先，立足于扎实的法律专业基础。这是法学教学的根本，不能舍本求末。不管增加何种技能的培养，法学基础知识的夯实是根本，不管采用何种纠纷解决方式，都不能违反法律强制性规定。这也是社会治理法治化的要求；其次，增强与人沟通的能力。在处理法律事务中，面对的都是各式各样的人。本科生缺乏人生阅历和生活经验，要理解现实纠纷中千差万别的人和事，需要在学习法律专业知识的基础上，学会或训练如何认识人、识别人，如何与人进行沟通和对话。因此，可增加其他专业或学科的知识传授，学习心理学的知识和技能，增强与人沟通的能力，包括性格识别、语言技巧、共情能力等。</w:t>
      </w:r>
    </w:p>
    <w:p>
      <w:pPr>
        <w:spacing w:line="400" w:lineRule="exact"/>
        <w:ind w:firstLine="420" w:firstLineChars="200"/>
        <w:rPr>
          <w:rFonts w:asciiTheme="minorEastAsia" w:hAnsiTheme="minorEastAsia"/>
          <w:bCs/>
          <w:szCs w:val="21"/>
        </w:rPr>
      </w:pPr>
      <w:r>
        <w:rPr>
          <w:rFonts w:hint="eastAsia" w:asciiTheme="minorEastAsia" w:hAnsiTheme="minorEastAsia"/>
          <w:bCs/>
          <w:szCs w:val="21"/>
        </w:rPr>
        <w:t>3.社区需要的法律服务人才需要具备四项专业能力：</w:t>
      </w:r>
    </w:p>
    <w:p>
      <w:pPr>
        <w:spacing w:line="400" w:lineRule="exact"/>
        <w:ind w:firstLine="420" w:firstLineChars="200"/>
        <w:rPr>
          <w:rFonts w:asciiTheme="minorEastAsia" w:hAnsiTheme="minorEastAsia"/>
          <w:bCs/>
          <w:szCs w:val="21"/>
        </w:rPr>
      </w:pPr>
      <w:r>
        <w:rPr>
          <w:rFonts w:hint="eastAsia" w:asciiTheme="minorEastAsia" w:hAnsiTheme="minorEastAsia"/>
          <w:bCs/>
          <w:szCs w:val="21"/>
        </w:rPr>
        <w:t>一是认知能力，指的是对法律基础知识熟练掌握，并且能够熟练运用的能力，这是从事法律职业的基础和根本；</w:t>
      </w:r>
    </w:p>
    <w:p>
      <w:pPr>
        <w:spacing w:line="400" w:lineRule="exact"/>
        <w:ind w:firstLine="420" w:firstLineChars="200"/>
        <w:rPr>
          <w:rFonts w:asciiTheme="minorEastAsia" w:hAnsiTheme="minorEastAsia"/>
          <w:bCs/>
          <w:szCs w:val="21"/>
        </w:rPr>
      </w:pPr>
      <w:r>
        <w:rPr>
          <w:rFonts w:hint="eastAsia" w:asciiTheme="minorEastAsia" w:hAnsiTheme="minorEastAsia"/>
          <w:bCs/>
          <w:szCs w:val="21"/>
        </w:rPr>
        <w:t>二是思维能力，指的是具有法律思维，既包括运用法律逻辑分析问题的能力，也包括在大数据、互联网等新时代背景下，随着法律服务领域的发展，不断更新思维，运用新的思维从事法律职业；</w:t>
      </w:r>
    </w:p>
    <w:p>
      <w:pPr>
        <w:spacing w:line="400" w:lineRule="exact"/>
        <w:ind w:firstLine="420" w:firstLineChars="200"/>
        <w:rPr>
          <w:rFonts w:asciiTheme="minorEastAsia" w:hAnsiTheme="minorEastAsia"/>
          <w:bCs/>
          <w:szCs w:val="21"/>
        </w:rPr>
      </w:pPr>
      <w:r>
        <w:rPr>
          <w:rFonts w:hint="eastAsia" w:asciiTheme="minorEastAsia" w:hAnsiTheme="minorEastAsia"/>
          <w:bCs/>
          <w:szCs w:val="21"/>
        </w:rPr>
        <w:t>三是写作能力，指的是掌握法律文书写作能力，写作能力是法律职业的基础，但在传统法学教学中往往被忽视，此次访谈中多为访谈对象提到许多毕业生写作能力差强人意，提出在校期间应加强写作能力的培养；</w:t>
      </w:r>
    </w:p>
    <w:p>
      <w:pPr>
        <w:spacing w:line="400" w:lineRule="exact"/>
        <w:ind w:firstLine="420" w:firstLineChars="200"/>
        <w:rPr>
          <w:rFonts w:asciiTheme="minorEastAsia" w:hAnsiTheme="minorEastAsia"/>
          <w:bCs/>
          <w:szCs w:val="21"/>
        </w:rPr>
      </w:pPr>
      <w:r>
        <w:rPr>
          <w:rFonts w:hint="eastAsia" w:asciiTheme="minorEastAsia" w:hAnsiTheme="minorEastAsia"/>
          <w:bCs/>
          <w:szCs w:val="21"/>
        </w:rPr>
        <w:t>四是口头能力，指的是具备沟通表达以及辩论谈判的口头能力。要成为优秀的法律人才，必须具备基本的法庭辩论、举证、质证能力，庭外的谈判、沟通能力。尤其在社区法律服务中，需要良好的沟通表达能力，与当事人建立良好、适度的信任关系。</w:t>
      </w:r>
    </w:p>
    <w:p>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四、法学案例教学实践的改革尝试</w:t>
      </w:r>
    </w:p>
    <w:p>
      <w:pPr>
        <w:spacing w:line="400" w:lineRule="exact"/>
        <w:ind w:firstLine="422" w:firstLineChars="200"/>
        <w:rPr>
          <w:rFonts w:asciiTheme="minorEastAsia" w:hAnsiTheme="minorEastAsia"/>
          <w:b/>
          <w:szCs w:val="21"/>
        </w:rPr>
      </w:pPr>
      <w:r>
        <w:rPr>
          <w:rFonts w:hint="eastAsia" w:asciiTheme="minorEastAsia" w:hAnsiTheme="minorEastAsia"/>
          <w:b/>
          <w:szCs w:val="21"/>
        </w:rPr>
        <w:t>（一）案例开发</w:t>
      </w:r>
    </w:p>
    <w:p>
      <w:pPr>
        <w:spacing w:line="400" w:lineRule="exact"/>
        <w:ind w:firstLine="420" w:firstLineChars="200"/>
        <w:rPr>
          <w:rFonts w:asciiTheme="minorEastAsia" w:hAnsiTheme="minorEastAsia"/>
          <w:szCs w:val="21"/>
        </w:rPr>
      </w:pPr>
      <w:r>
        <w:rPr>
          <w:rFonts w:hint="eastAsia" w:asciiTheme="minorEastAsia" w:hAnsiTheme="minorEastAsia"/>
          <w:szCs w:val="21"/>
        </w:rPr>
        <w:t>为了能够在人才培养上更加契合社区法律服务人才的需要，首先在课程的案例资料选择上，拟与社区居民关注的问题尽量契合。根据调查，受访社区居民关注的法律问题和纠纷如下：</w:t>
      </w:r>
    </w:p>
    <w:p>
      <w:pPr>
        <w:spacing w:line="400" w:lineRule="exact"/>
        <w:ind w:firstLine="420" w:firstLineChars="200"/>
        <w:rPr>
          <w:rFonts w:asciiTheme="minorEastAsia" w:hAnsiTheme="minorEastAsia"/>
          <w:color w:val="000000"/>
          <w:szCs w:val="21"/>
        </w:rPr>
      </w:pPr>
      <w:r>
        <w:rPr>
          <w:rFonts w:hint="eastAsia" w:asciiTheme="minorEastAsia" w:hAnsiTheme="minorEastAsia"/>
          <w:szCs w:val="21"/>
        </w:rPr>
        <w:t>1.</w:t>
      </w:r>
      <w:r>
        <w:rPr>
          <w:rFonts w:hint="eastAsia" w:asciiTheme="minorEastAsia" w:hAnsiTheme="minorEastAsia"/>
          <w:color w:val="000000"/>
          <w:szCs w:val="21"/>
        </w:rPr>
        <w:t>受访社区居民最想了解的法律知识占前五名的如图4所示：</w:t>
      </w:r>
    </w:p>
    <w:tbl>
      <w:tblPr>
        <w:tblStyle w:val="11"/>
        <w:tblW w:w="7625"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293"/>
        <w:gridCol w:w="433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3" w:type="dxa"/>
            <w:shd w:val="clear" w:color="auto" w:fill="FFFFFF"/>
            <w:vAlign w:val="center"/>
          </w:tcPr>
          <w:p>
            <w:pPr>
              <w:rPr>
                <w:rFonts w:asciiTheme="minorEastAsia" w:hAnsiTheme="minorEastAsia"/>
                <w:szCs w:val="21"/>
              </w:rPr>
            </w:pPr>
            <w:r>
              <w:rPr>
                <w:rFonts w:asciiTheme="minorEastAsia" w:hAnsiTheme="minorEastAsia"/>
                <w:szCs w:val="21"/>
              </w:rPr>
              <w:t>婚姻家庭</w:t>
            </w:r>
          </w:p>
        </w:tc>
        <w:tc>
          <w:tcPr>
            <w:tcW w:w="4332" w:type="dxa"/>
            <w:shd w:val="clear" w:color="auto" w:fill="FFFFFF"/>
            <w:vAlign w:val="center"/>
          </w:tcPr>
          <w:p>
            <w:pPr>
              <w:rPr>
                <w:rFonts w:asciiTheme="minorEastAsia" w:hAnsiTheme="minorEastAsia"/>
                <w:szCs w:val="21"/>
              </w:rPr>
            </w:pPr>
            <w:r>
              <w:rPr>
                <w:rFonts w:asciiTheme="minorEastAsia" w:hAnsiTheme="minorEastAsia"/>
                <w:szCs w:val="21"/>
              </w:rPr>
              <w:drawing>
                <wp:inline distT="0" distB="0" distL="0" distR="0">
                  <wp:extent cx="571500" cy="114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5715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781050" cy="1143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srcRect/>
                          <a:stretch>
                            <a:fillRect/>
                          </a:stretch>
                        </pic:blipFill>
                        <pic:spPr>
                          <a:xfrm>
                            <a:off x="0" y="0"/>
                            <a:ext cx="781050" cy="114300"/>
                          </a:xfrm>
                          <a:prstGeom prst="rect">
                            <a:avLst/>
                          </a:prstGeom>
                          <a:noFill/>
                          <a:ln w="9525">
                            <a:noFill/>
                            <a:miter lim="800000"/>
                            <a:headEnd/>
                            <a:tailEnd/>
                          </a:ln>
                        </pic:spPr>
                      </pic:pic>
                    </a:graphicData>
                  </a:graphic>
                </wp:inline>
              </w:drawing>
            </w:r>
            <w:r>
              <w:rPr>
                <w:rFonts w:asciiTheme="minorEastAsia" w:hAnsiTheme="minorEastAsia"/>
                <w:szCs w:val="21"/>
              </w:rPr>
              <w:t>42.78%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3" w:type="dxa"/>
            <w:shd w:val="clear" w:color="auto" w:fill="F9F9F9"/>
            <w:vAlign w:val="center"/>
          </w:tcPr>
          <w:p>
            <w:pPr>
              <w:rPr>
                <w:rFonts w:asciiTheme="minorEastAsia" w:hAnsiTheme="minorEastAsia"/>
                <w:szCs w:val="21"/>
              </w:rPr>
            </w:pPr>
            <w:r>
              <w:rPr>
                <w:rFonts w:asciiTheme="minorEastAsia" w:hAnsiTheme="minorEastAsia"/>
                <w:szCs w:val="21"/>
              </w:rPr>
              <w:t>财产继承</w:t>
            </w:r>
          </w:p>
        </w:tc>
        <w:tc>
          <w:tcPr>
            <w:tcW w:w="4332" w:type="dxa"/>
            <w:shd w:val="clear" w:color="auto" w:fill="F9F9F9"/>
            <w:vAlign w:val="center"/>
          </w:tcPr>
          <w:p>
            <w:pPr>
              <w:rPr>
                <w:rFonts w:asciiTheme="minorEastAsia" w:hAnsiTheme="minorEastAsia"/>
                <w:szCs w:val="21"/>
              </w:rPr>
            </w:pPr>
            <w:r>
              <w:rPr>
                <w:rFonts w:asciiTheme="minorEastAsia" w:hAnsiTheme="minorEastAsia"/>
                <w:szCs w:val="21"/>
              </w:rPr>
              <w:drawing>
                <wp:inline distT="0" distB="0" distL="0" distR="0">
                  <wp:extent cx="876300" cy="1143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srcRect/>
                          <a:stretch>
                            <a:fillRect/>
                          </a:stretch>
                        </pic:blipFill>
                        <pic:spPr>
                          <a:xfrm>
                            <a:off x="0" y="0"/>
                            <a:ext cx="8763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476250" cy="1143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srcRect/>
                          <a:stretch>
                            <a:fillRect/>
                          </a:stretch>
                        </pic:blipFill>
                        <pic:spPr>
                          <a:xfrm>
                            <a:off x="0" y="0"/>
                            <a:ext cx="476250" cy="114300"/>
                          </a:xfrm>
                          <a:prstGeom prst="rect">
                            <a:avLst/>
                          </a:prstGeom>
                          <a:noFill/>
                          <a:ln w="9525">
                            <a:noFill/>
                            <a:miter lim="800000"/>
                            <a:headEnd/>
                            <a:tailEnd/>
                          </a:ln>
                        </pic:spPr>
                      </pic:pic>
                    </a:graphicData>
                  </a:graphic>
                </wp:inline>
              </w:drawing>
            </w:r>
            <w:r>
              <w:rPr>
                <w:rFonts w:asciiTheme="minorEastAsia" w:hAnsiTheme="minorEastAsia"/>
                <w:szCs w:val="21"/>
              </w:rPr>
              <w:t>64.95%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3" w:type="dxa"/>
            <w:shd w:val="clear" w:color="auto" w:fill="FFFFFF"/>
            <w:vAlign w:val="center"/>
          </w:tcPr>
          <w:p>
            <w:pPr>
              <w:rPr>
                <w:rFonts w:asciiTheme="minorEastAsia" w:hAnsiTheme="minorEastAsia"/>
                <w:szCs w:val="21"/>
              </w:rPr>
            </w:pPr>
            <w:r>
              <w:rPr>
                <w:rFonts w:asciiTheme="minorEastAsia" w:hAnsiTheme="minorEastAsia"/>
                <w:szCs w:val="21"/>
              </w:rPr>
              <w:t>房屋买卖</w:t>
            </w:r>
          </w:p>
        </w:tc>
        <w:tc>
          <w:tcPr>
            <w:tcW w:w="4332" w:type="dxa"/>
            <w:shd w:val="clear" w:color="auto" w:fill="FFFFFF"/>
            <w:vAlign w:val="center"/>
          </w:tcPr>
          <w:p>
            <w:pPr>
              <w:rPr>
                <w:rFonts w:asciiTheme="minorEastAsia" w:hAnsiTheme="minorEastAsia"/>
                <w:szCs w:val="21"/>
              </w:rPr>
            </w:pPr>
            <w:r>
              <w:rPr>
                <w:rFonts w:asciiTheme="minorEastAsia" w:hAnsiTheme="minorEastAsia"/>
                <w:szCs w:val="21"/>
              </w:rPr>
              <w:drawing>
                <wp:inline distT="0" distB="0" distL="0" distR="0">
                  <wp:extent cx="749300" cy="1143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srcRect/>
                          <a:stretch>
                            <a:fillRect/>
                          </a:stretch>
                        </pic:blipFill>
                        <pic:spPr>
                          <a:xfrm>
                            <a:off x="0" y="0"/>
                            <a:ext cx="7493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603250" cy="114300"/>
                  <wp:effectExtent l="19050" t="0" r="635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13"/>
                          <a:srcRect/>
                          <a:stretch>
                            <a:fillRect/>
                          </a:stretch>
                        </pic:blipFill>
                        <pic:spPr>
                          <a:xfrm>
                            <a:off x="0" y="0"/>
                            <a:ext cx="603250" cy="114300"/>
                          </a:xfrm>
                          <a:prstGeom prst="rect">
                            <a:avLst/>
                          </a:prstGeom>
                          <a:noFill/>
                          <a:ln w="9525">
                            <a:noFill/>
                            <a:miter lim="800000"/>
                            <a:headEnd/>
                            <a:tailEnd/>
                          </a:ln>
                        </pic:spPr>
                      </pic:pic>
                    </a:graphicData>
                  </a:graphic>
                </wp:inline>
              </w:drawing>
            </w:r>
            <w:r>
              <w:rPr>
                <w:rFonts w:asciiTheme="minorEastAsia" w:hAnsiTheme="minorEastAsia"/>
                <w:szCs w:val="21"/>
              </w:rPr>
              <w:t>55.67%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3" w:type="dxa"/>
            <w:shd w:val="clear" w:color="auto" w:fill="F9F9F9"/>
            <w:vAlign w:val="center"/>
          </w:tcPr>
          <w:p>
            <w:pPr>
              <w:rPr>
                <w:rFonts w:asciiTheme="minorEastAsia" w:hAnsiTheme="minorEastAsia"/>
                <w:szCs w:val="21"/>
              </w:rPr>
            </w:pPr>
            <w:r>
              <w:rPr>
                <w:rFonts w:asciiTheme="minorEastAsia" w:hAnsiTheme="minorEastAsia"/>
                <w:szCs w:val="21"/>
              </w:rPr>
              <w:t>社会保障政策(医保等)</w:t>
            </w:r>
          </w:p>
        </w:tc>
        <w:tc>
          <w:tcPr>
            <w:tcW w:w="4332" w:type="dxa"/>
            <w:shd w:val="clear" w:color="auto" w:fill="F9F9F9"/>
            <w:vAlign w:val="center"/>
          </w:tcPr>
          <w:p>
            <w:pPr>
              <w:rPr>
                <w:rFonts w:asciiTheme="minorEastAsia" w:hAnsiTheme="minorEastAsia"/>
                <w:szCs w:val="21"/>
              </w:rPr>
            </w:pPr>
            <w:r>
              <w:rPr>
                <w:rFonts w:asciiTheme="minorEastAsia" w:hAnsiTheme="minorEastAsia"/>
                <w:szCs w:val="21"/>
              </w:rPr>
              <w:drawing>
                <wp:inline distT="0" distB="0" distL="0" distR="0">
                  <wp:extent cx="908050" cy="114300"/>
                  <wp:effectExtent l="19050" t="0" r="635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14"/>
                          <a:srcRect/>
                          <a:stretch>
                            <a:fillRect/>
                          </a:stretch>
                        </pic:blipFill>
                        <pic:spPr>
                          <a:xfrm>
                            <a:off x="0" y="0"/>
                            <a:ext cx="90805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444500" cy="114300"/>
                  <wp:effectExtent l="1905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noChangeArrowheads="1"/>
                          </pic:cNvPicPr>
                        </pic:nvPicPr>
                        <pic:blipFill>
                          <a:blip r:embed="rId15"/>
                          <a:srcRect/>
                          <a:stretch>
                            <a:fillRect/>
                          </a:stretch>
                        </pic:blipFill>
                        <pic:spPr>
                          <a:xfrm>
                            <a:off x="0" y="0"/>
                            <a:ext cx="444500" cy="114300"/>
                          </a:xfrm>
                          <a:prstGeom prst="rect">
                            <a:avLst/>
                          </a:prstGeom>
                          <a:noFill/>
                          <a:ln w="9525">
                            <a:noFill/>
                            <a:miter lim="800000"/>
                            <a:headEnd/>
                            <a:tailEnd/>
                          </a:ln>
                        </pic:spPr>
                      </pic:pic>
                    </a:graphicData>
                  </a:graphic>
                </wp:inline>
              </w:drawing>
            </w:r>
            <w:r>
              <w:rPr>
                <w:rFonts w:asciiTheme="minorEastAsia" w:hAnsiTheme="minorEastAsia"/>
                <w:szCs w:val="21"/>
              </w:rPr>
              <w:t>67.53%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3" w:type="dxa"/>
            <w:shd w:val="clear" w:color="auto" w:fill="F9F9F9"/>
            <w:vAlign w:val="center"/>
          </w:tcPr>
          <w:p>
            <w:pPr>
              <w:rPr>
                <w:rFonts w:asciiTheme="minorEastAsia" w:hAnsiTheme="minorEastAsia"/>
                <w:szCs w:val="21"/>
              </w:rPr>
            </w:pPr>
            <w:r>
              <w:rPr>
                <w:rFonts w:asciiTheme="minorEastAsia" w:hAnsiTheme="minorEastAsia"/>
                <w:szCs w:val="21"/>
              </w:rPr>
              <w:t>社区管理</w:t>
            </w:r>
          </w:p>
        </w:tc>
        <w:tc>
          <w:tcPr>
            <w:tcW w:w="4332" w:type="dxa"/>
            <w:shd w:val="clear" w:color="auto" w:fill="F9F9F9"/>
            <w:vAlign w:val="center"/>
          </w:tcPr>
          <w:p>
            <w:pPr>
              <w:rPr>
                <w:rFonts w:asciiTheme="minorEastAsia" w:hAnsiTheme="minorEastAsia"/>
                <w:szCs w:val="21"/>
              </w:rPr>
            </w:pPr>
            <w:r>
              <w:rPr>
                <w:rFonts w:asciiTheme="minorEastAsia" w:hAnsiTheme="minorEastAsia"/>
                <w:szCs w:val="21"/>
              </w:rPr>
              <w:drawing>
                <wp:inline distT="0" distB="0" distL="0" distR="0">
                  <wp:extent cx="546100" cy="114300"/>
                  <wp:effectExtent l="19050" t="0" r="6350" b="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noChangeArrowheads="1"/>
                          </pic:cNvPicPr>
                        </pic:nvPicPr>
                        <pic:blipFill>
                          <a:blip r:embed="rId16"/>
                          <a:srcRect/>
                          <a:stretch>
                            <a:fillRect/>
                          </a:stretch>
                        </pic:blipFill>
                        <pic:spPr>
                          <a:xfrm>
                            <a:off x="0" y="0"/>
                            <a:ext cx="5461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806450" cy="114300"/>
                  <wp:effectExtent l="19050" t="0" r="0" b="0"/>
                  <wp:docPr id="2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6"/>
                          <pic:cNvPicPr>
                            <a:picLocks noChangeAspect="1" noChangeArrowheads="1"/>
                          </pic:cNvPicPr>
                        </pic:nvPicPr>
                        <pic:blipFill>
                          <a:blip r:embed="rId17"/>
                          <a:srcRect/>
                          <a:stretch>
                            <a:fillRect/>
                          </a:stretch>
                        </pic:blipFill>
                        <pic:spPr>
                          <a:xfrm>
                            <a:off x="0" y="0"/>
                            <a:ext cx="806450" cy="114300"/>
                          </a:xfrm>
                          <a:prstGeom prst="rect">
                            <a:avLst/>
                          </a:prstGeom>
                          <a:noFill/>
                          <a:ln w="9525">
                            <a:noFill/>
                            <a:miter lim="800000"/>
                            <a:headEnd/>
                            <a:tailEnd/>
                          </a:ln>
                        </pic:spPr>
                      </pic:pic>
                    </a:graphicData>
                  </a:graphic>
                </wp:inline>
              </w:drawing>
            </w:r>
            <w:r>
              <w:rPr>
                <w:rFonts w:asciiTheme="minorEastAsia" w:hAnsiTheme="minorEastAsia"/>
                <w:szCs w:val="21"/>
              </w:rPr>
              <w:t>40.72%</w:t>
            </w:r>
          </w:p>
        </w:tc>
      </w:tr>
    </w:tbl>
    <w:p>
      <w:pPr>
        <w:jc w:val="center"/>
        <w:rPr>
          <w:rFonts w:asciiTheme="minorEastAsia" w:hAnsiTheme="minorEastAsia"/>
          <w:szCs w:val="21"/>
        </w:rPr>
      </w:pPr>
      <w:r>
        <w:rPr>
          <w:rFonts w:hint="eastAsia" w:asciiTheme="minorEastAsia" w:hAnsiTheme="minorEastAsia"/>
          <w:szCs w:val="21"/>
        </w:rPr>
        <w:t>图4：受访居民最想了解的法律知识</w:t>
      </w:r>
    </w:p>
    <w:p>
      <w:pPr>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color w:val="000000"/>
          <w:szCs w:val="21"/>
        </w:rPr>
        <w:t>2.受访居民生活中遇到的法律问题或纠纷的领域占比如图5所示：</w:t>
      </w:r>
    </w:p>
    <w:tbl>
      <w:tblPr>
        <w:tblStyle w:val="11"/>
        <w:tblW w:w="7627"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294"/>
        <w:gridCol w:w="433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4" w:type="dxa"/>
            <w:shd w:val="clear" w:color="auto" w:fill="FFFFFF"/>
            <w:vAlign w:val="center"/>
          </w:tcPr>
          <w:p>
            <w:pPr>
              <w:rPr>
                <w:rFonts w:asciiTheme="minorEastAsia" w:hAnsiTheme="minorEastAsia"/>
                <w:szCs w:val="21"/>
              </w:rPr>
            </w:pPr>
            <w:r>
              <w:rPr>
                <w:rFonts w:asciiTheme="minorEastAsia" w:hAnsiTheme="minorEastAsia"/>
                <w:szCs w:val="21"/>
              </w:rPr>
              <w:t>婚姻家庭</w:t>
            </w:r>
          </w:p>
        </w:tc>
        <w:tc>
          <w:tcPr>
            <w:tcW w:w="4333" w:type="dxa"/>
            <w:shd w:val="clear" w:color="auto" w:fill="FFFFFF"/>
            <w:vAlign w:val="center"/>
          </w:tcPr>
          <w:p>
            <w:pPr>
              <w:rPr>
                <w:rFonts w:asciiTheme="minorEastAsia" w:hAnsiTheme="minorEastAsia"/>
                <w:szCs w:val="21"/>
              </w:rPr>
            </w:pPr>
            <w:r>
              <w:rPr>
                <w:rFonts w:asciiTheme="minorEastAsia" w:hAnsiTheme="minorEastAsia"/>
                <w:szCs w:val="21"/>
              </w:rPr>
              <w:drawing>
                <wp:inline distT="0" distB="0" distL="0" distR="0">
                  <wp:extent cx="152400" cy="114300"/>
                  <wp:effectExtent l="19050" t="0" r="0" b="0"/>
                  <wp:docPr id="2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3"/>
                          <pic:cNvPicPr>
                            <a:picLocks noChangeAspect="1" noChangeArrowheads="1"/>
                          </pic:cNvPicPr>
                        </pic:nvPicPr>
                        <pic:blipFill>
                          <a:blip r:embed="rId18"/>
                          <a:srcRect/>
                          <a:stretch>
                            <a:fillRect/>
                          </a:stretch>
                        </pic:blipFill>
                        <pic:spPr>
                          <a:xfrm>
                            <a:off x="0" y="0"/>
                            <a:ext cx="1524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1200150" cy="114300"/>
                  <wp:effectExtent l="19050" t="0" r="0" b="0"/>
                  <wp:docPr id="2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4"/>
                          <pic:cNvPicPr>
                            <a:picLocks noChangeAspect="1" noChangeArrowheads="1"/>
                          </pic:cNvPicPr>
                        </pic:nvPicPr>
                        <pic:blipFill>
                          <a:blip r:embed="rId19"/>
                          <a:srcRect/>
                          <a:stretch>
                            <a:fillRect/>
                          </a:stretch>
                        </pic:blipFill>
                        <pic:spPr>
                          <a:xfrm>
                            <a:off x="0" y="0"/>
                            <a:ext cx="1200150" cy="114300"/>
                          </a:xfrm>
                          <a:prstGeom prst="rect">
                            <a:avLst/>
                          </a:prstGeom>
                          <a:noFill/>
                          <a:ln w="9525">
                            <a:noFill/>
                            <a:miter lim="800000"/>
                            <a:headEnd/>
                            <a:tailEnd/>
                          </a:ln>
                        </pic:spPr>
                      </pic:pic>
                    </a:graphicData>
                  </a:graphic>
                </wp:inline>
              </w:drawing>
            </w:r>
            <w:r>
              <w:rPr>
                <w:rFonts w:asciiTheme="minorEastAsia" w:hAnsiTheme="minorEastAsia"/>
                <w:szCs w:val="21"/>
              </w:rPr>
              <w:t>11.63%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4" w:type="dxa"/>
            <w:shd w:val="clear" w:color="auto" w:fill="F9F9F9"/>
            <w:vAlign w:val="center"/>
          </w:tcPr>
          <w:p>
            <w:pPr>
              <w:rPr>
                <w:rFonts w:asciiTheme="minorEastAsia" w:hAnsiTheme="minorEastAsia"/>
                <w:szCs w:val="21"/>
              </w:rPr>
            </w:pPr>
            <w:r>
              <w:rPr>
                <w:rFonts w:asciiTheme="minorEastAsia" w:hAnsiTheme="minorEastAsia"/>
                <w:szCs w:val="21"/>
              </w:rPr>
              <w:t>财产继承</w:t>
            </w:r>
          </w:p>
        </w:tc>
        <w:tc>
          <w:tcPr>
            <w:tcW w:w="4333" w:type="dxa"/>
            <w:shd w:val="clear" w:color="auto" w:fill="F9F9F9"/>
            <w:vAlign w:val="center"/>
          </w:tcPr>
          <w:p>
            <w:pPr>
              <w:rPr>
                <w:rFonts w:asciiTheme="minorEastAsia" w:hAnsiTheme="minorEastAsia"/>
                <w:szCs w:val="21"/>
              </w:rPr>
            </w:pPr>
            <w:r>
              <w:rPr>
                <w:rFonts w:asciiTheme="minorEastAsia" w:hAnsiTheme="minorEastAsia"/>
                <w:szCs w:val="21"/>
              </w:rPr>
              <w:drawing>
                <wp:inline distT="0" distB="0" distL="0" distR="0">
                  <wp:extent cx="565150" cy="114300"/>
                  <wp:effectExtent l="19050" t="0" r="6350" b="0"/>
                  <wp:docPr id="23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5"/>
                          <pic:cNvPicPr>
                            <a:picLocks noChangeAspect="1" noChangeArrowheads="1"/>
                          </pic:cNvPicPr>
                        </pic:nvPicPr>
                        <pic:blipFill>
                          <a:blip r:embed="rId20"/>
                          <a:srcRect/>
                          <a:stretch>
                            <a:fillRect/>
                          </a:stretch>
                        </pic:blipFill>
                        <pic:spPr>
                          <a:xfrm>
                            <a:off x="0" y="0"/>
                            <a:ext cx="56515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787400" cy="114300"/>
                  <wp:effectExtent l="19050" t="0" r="0" b="0"/>
                  <wp:docPr id="24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6"/>
                          <pic:cNvPicPr>
                            <a:picLocks noChangeAspect="1" noChangeArrowheads="1"/>
                          </pic:cNvPicPr>
                        </pic:nvPicPr>
                        <pic:blipFill>
                          <a:blip r:embed="rId21"/>
                          <a:srcRect/>
                          <a:stretch>
                            <a:fillRect/>
                          </a:stretch>
                        </pic:blipFill>
                        <pic:spPr>
                          <a:xfrm>
                            <a:off x="0" y="0"/>
                            <a:ext cx="787400" cy="114300"/>
                          </a:xfrm>
                          <a:prstGeom prst="rect">
                            <a:avLst/>
                          </a:prstGeom>
                          <a:noFill/>
                          <a:ln w="9525">
                            <a:noFill/>
                            <a:miter lim="800000"/>
                            <a:headEnd/>
                            <a:tailEnd/>
                          </a:ln>
                        </pic:spPr>
                      </pic:pic>
                    </a:graphicData>
                  </a:graphic>
                </wp:inline>
              </w:drawing>
            </w:r>
            <w:r>
              <w:rPr>
                <w:rFonts w:asciiTheme="minorEastAsia" w:hAnsiTheme="minorEastAsia"/>
                <w:szCs w:val="21"/>
              </w:rPr>
              <w:t>41.86%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4" w:type="dxa"/>
            <w:shd w:val="clear" w:color="auto" w:fill="FFFFFF"/>
            <w:vAlign w:val="center"/>
          </w:tcPr>
          <w:p>
            <w:pPr>
              <w:rPr>
                <w:rFonts w:asciiTheme="minorEastAsia" w:hAnsiTheme="minorEastAsia"/>
                <w:szCs w:val="21"/>
              </w:rPr>
            </w:pPr>
            <w:r>
              <w:rPr>
                <w:rFonts w:asciiTheme="minorEastAsia" w:hAnsiTheme="minorEastAsia"/>
                <w:szCs w:val="21"/>
              </w:rPr>
              <w:t>房屋买卖</w:t>
            </w:r>
          </w:p>
        </w:tc>
        <w:tc>
          <w:tcPr>
            <w:tcW w:w="4333" w:type="dxa"/>
            <w:shd w:val="clear" w:color="auto" w:fill="FFFFFF"/>
            <w:vAlign w:val="center"/>
          </w:tcPr>
          <w:p>
            <w:pPr>
              <w:rPr>
                <w:rFonts w:asciiTheme="minorEastAsia" w:hAnsiTheme="minorEastAsia"/>
                <w:szCs w:val="21"/>
              </w:rPr>
            </w:pPr>
            <w:r>
              <w:rPr>
                <w:rFonts w:asciiTheme="minorEastAsia" w:hAnsiTheme="minorEastAsia"/>
                <w:szCs w:val="21"/>
              </w:rPr>
              <w:drawing>
                <wp:inline distT="0" distB="0" distL="0" distR="0">
                  <wp:extent cx="565150" cy="114300"/>
                  <wp:effectExtent l="19050" t="0" r="6350" b="0"/>
                  <wp:docPr id="24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7"/>
                          <pic:cNvPicPr>
                            <a:picLocks noChangeAspect="1" noChangeArrowheads="1"/>
                          </pic:cNvPicPr>
                        </pic:nvPicPr>
                        <pic:blipFill>
                          <a:blip r:embed="rId20"/>
                          <a:srcRect/>
                          <a:stretch>
                            <a:fillRect/>
                          </a:stretch>
                        </pic:blipFill>
                        <pic:spPr>
                          <a:xfrm>
                            <a:off x="0" y="0"/>
                            <a:ext cx="56515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787400" cy="114300"/>
                  <wp:effectExtent l="19050" t="0" r="0" b="0"/>
                  <wp:docPr id="24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8"/>
                          <pic:cNvPicPr>
                            <a:picLocks noChangeAspect="1" noChangeArrowheads="1"/>
                          </pic:cNvPicPr>
                        </pic:nvPicPr>
                        <pic:blipFill>
                          <a:blip r:embed="rId21"/>
                          <a:srcRect/>
                          <a:stretch>
                            <a:fillRect/>
                          </a:stretch>
                        </pic:blipFill>
                        <pic:spPr>
                          <a:xfrm>
                            <a:off x="0" y="0"/>
                            <a:ext cx="787400" cy="114300"/>
                          </a:xfrm>
                          <a:prstGeom prst="rect">
                            <a:avLst/>
                          </a:prstGeom>
                          <a:noFill/>
                          <a:ln w="9525">
                            <a:noFill/>
                            <a:miter lim="800000"/>
                            <a:headEnd/>
                            <a:tailEnd/>
                          </a:ln>
                        </pic:spPr>
                      </pic:pic>
                    </a:graphicData>
                  </a:graphic>
                </wp:inline>
              </w:drawing>
            </w:r>
            <w:r>
              <w:rPr>
                <w:rFonts w:asciiTheme="minorEastAsia" w:hAnsiTheme="minorEastAsia"/>
                <w:szCs w:val="21"/>
              </w:rPr>
              <w:t>41.86%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4" w:type="dxa"/>
            <w:shd w:val="clear" w:color="auto" w:fill="F9F9F9"/>
            <w:vAlign w:val="center"/>
          </w:tcPr>
          <w:p>
            <w:pPr>
              <w:rPr>
                <w:rFonts w:asciiTheme="minorEastAsia" w:hAnsiTheme="minorEastAsia"/>
                <w:szCs w:val="21"/>
              </w:rPr>
            </w:pPr>
            <w:r>
              <w:rPr>
                <w:rFonts w:asciiTheme="minorEastAsia" w:hAnsiTheme="minorEastAsia"/>
                <w:szCs w:val="21"/>
              </w:rPr>
              <w:t>房屋拆迁</w:t>
            </w:r>
          </w:p>
        </w:tc>
        <w:tc>
          <w:tcPr>
            <w:tcW w:w="4333" w:type="dxa"/>
            <w:shd w:val="clear" w:color="auto" w:fill="F9F9F9"/>
            <w:vAlign w:val="center"/>
          </w:tcPr>
          <w:p>
            <w:pPr>
              <w:rPr>
                <w:rFonts w:asciiTheme="minorEastAsia" w:hAnsiTheme="minorEastAsia"/>
                <w:szCs w:val="21"/>
              </w:rPr>
            </w:pPr>
            <w:r>
              <w:rPr>
                <w:rFonts w:asciiTheme="minorEastAsia" w:hAnsiTheme="minorEastAsia"/>
                <w:szCs w:val="21"/>
              </w:rPr>
              <w:drawing>
                <wp:inline distT="0" distB="0" distL="0" distR="0">
                  <wp:extent cx="279400" cy="114300"/>
                  <wp:effectExtent l="19050" t="0" r="6350" b="0"/>
                  <wp:docPr id="2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9"/>
                          <pic:cNvPicPr>
                            <a:picLocks noChangeAspect="1" noChangeArrowheads="1"/>
                          </pic:cNvPicPr>
                        </pic:nvPicPr>
                        <pic:blipFill>
                          <a:blip r:embed="rId22"/>
                          <a:srcRect/>
                          <a:stretch>
                            <a:fillRect/>
                          </a:stretch>
                        </pic:blipFill>
                        <pic:spPr>
                          <a:xfrm>
                            <a:off x="0" y="0"/>
                            <a:ext cx="2794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1073150" cy="114300"/>
                  <wp:effectExtent l="19050" t="0" r="0" b="0"/>
                  <wp:docPr id="24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0"/>
                          <pic:cNvPicPr>
                            <a:picLocks noChangeAspect="1" noChangeArrowheads="1"/>
                          </pic:cNvPicPr>
                        </pic:nvPicPr>
                        <pic:blipFill>
                          <a:blip r:embed="rId23"/>
                          <a:srcRect/>
                          <a:stretch>
                            <a:fillRect/>
                          </a:stretch>
                        </pic:blipFill>
                        <pic:spPr>
                          <a:xfrm>
                            <a:off x="0" y="0"/>
                            <a:ext cx="1073150" cy="114300"/>
                          </a:xfrm>
                          <a:prstGeom prst="rect">
                            <a:avLst/>
                          </a:prstGeom>
                          <a:noFill/>
                          <a:ln w="9525">
                            <a:noFill/>
                            <a:miter lim="800000"/>
                            <a:headEnd/>
                            <a:tailEnd/>
                          </a:ln>
                        </pic:spPr>
                      </pic:pic>
                    </a:graphicData>
                  </a:graphic>
                </wp:inline>
              </w:drawing>
            </w:r>
            <w:r>
              <w:rPr>
                <w:rFonts w:asciiTheme="minorEastAsia" w:hAnsiTheme="minorEastAsia"/>
                <w:szCs w:val="21"/>
              </w:rPr>
              <w:t>20.93%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4" w:type="dxa"/>
            <w:shd w:val="clear" w:color="auto" w:fill="F9F9F9"/>
            <w:vAlign w:val="center"/>
          </w:tcPr>
          <w:p>
            <w:pPr>
              <w:rPr>
                <w:rFonts w:asciiTheme="minorEastAsia" w:hAnsiTheme="minorEastAsia"/>
                <w:szCs w:val="21"/>
              </w:rPr>
            </w:pPr>
            <w:r>
              <w:rPr>
                <w:rFonts w:asciiTheme="minorEastAsia" w:hAnsiTheme="minorEastAsia"/>
                <w:szCs w:val="21"/>
              </w:rPr>
              <w:t>社会保障政策(医保等)</w:t>
            </w:r>
          </w:p>
        </w:tc>
        <w:tc>
          <w:tcPr>
            <w:tcW w:w="4333" w:type="dxa"/>
            <w:shd w:val="clear" w:color="auto" w:fill="F9F9F9"/>
            <w:vAlign w:val="center"/>
          </w:tcPr>
          <w:p>
            <w:pPr>
              <w:rPr>
                <w:rFonts w:asciiTheme="minorEastAsia" w:hAnsiTheme="minorEastAsia"/>
                <w:szCs w:val="21"/>
              </w:rPr>
            </w:pPr>
            <w:r>
              <w:rPr>
                <w:rFonts w:asciiTheme="minorEastAsia" w:hAnsiTheme="minorEastAsia"/>
                <w:szCs w:val="21"/>
              </w:rPr>
              <w:drawing>
                <wp:inline distT="0" distB="0" distL="0" distR="0">
                  <wp:extent cx="279400" cy="114300"/>
                  <wp:effectExtent l="19050" t="0" r="6350" b="0"/>
                  <wp:docPr id="24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33"/>
                          <pic:cNvPicPr>
                            <a:picLocks noChangeAspect="1" noChangeArrowheads="1"/>
                          </pic:cNvPicPr>
                        </pic:nvPicPr>
                        <pic:blipFill>
                          <a:blip r:embed="rId22"/>
                          <a:srcRect/>
                          <a:stretch>
                            <a:fillRect/>
                          </a:stretch>
                        </pic:blipFill>
                        <pic:spPr>
                          <a:xfrm>
                            <a:off x="0" y="0"/>
                            <a:ext cx="2794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1073150" cy="114300"/>
                  <wp:effectExtent l="19050" t="0" r="0" b="0"/>
                  <wp:docPr id="24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34"/>
                          <pic:cNvPicPr>
                            <a:picLocks noChangeAspect="1" noChangeArrowheads="1"/>
                          </pic:cNvPicPr>
                        </pic:nvPicPr>
                        <pic:blipFill>
                          <a:blip r:embed="rId23"/>
                          <a:srcRect/>
                          <a:stretch>
                            <a:fillRect/>
                          </a:stretch>
                        </pic:blipFill>
                        <pic:spPr>
                          <a:xfrm>
                            <a:off x="0" y="0"/>
                            <a:ext cx="1073150" cy="114300"/>
                          </a:xfrm>
                          <a:prstGeom prst="rect">
                            <a:avLst/>
                          </a:prstGeom>
                          <a:noFill/>
                          <a:ln w="9525">
                            <a:noFill/>
                            <a:miter lim="800000"/>
                            <a:headEnd/>
                            <a:tailEnd/>
                          </a:ln>
                        </pic:spPr>
                      </pic:pic>
                    </a:graphicData>
                  </a:graphic>
                </wp:inline>
              </w:drawing>
            </w:r>
            <w:r>
              <w:rPr>
                <w:rFonts w:asciiTheme="minorEastAsia" w:hAnsiTheme="minorEastAsia"/>
                <w:szCs w:val="21"/>
              </w:rPr>
              <w:t>20.93%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4" w:type="dxa"/>
            <w:shd w:val="clear" w:color="auto" w:fill="FFFFFF"/>
            <w:vAlign w:val="center"/>
          </w:tcPr>
          <w:p>
            <w:pPr>
              <w:rPr>
                <w:rFonts w:asciiTheme="minorEastAsia" w:hAnsiTheme="minorEastAsia"/>
                <w:szCs w:val="21"/>
              </w:rPr>
            </w:pPr>
            <w:r>
              <w:rPr>
                <w:rFonts w:asciiTheme="minorEastAsia" w:hAnsiTheme="minorEastAsia"/>
                <w:szCs w:val="21"/>
              </w:rPr>
              <w:t>物业管理</w:t>
            </w:r>
          </w:p>
        </w:tc>
        <w:tc>
          <w:tcPr>
            <w:tcW w:w="4333" w:type="dxa"/>
            <w:shd w:val="clear" w:color="auto" w:fill="FFFFFF"/>
            <w:vAlign w:val="center"/>
          </w:tcPr>
          <w:p>
            <w:pPr>
              <w:rPr>
                <w:rFonts w:asciiTheme="minorEastAsia" w:hAnsiTheme="minorEastAsia"/>
                <w:szCs w:val="21"/>
              </w:rPr>
            </w:pPr>
            <w:r>
              <w:rPr>
                <w:rFonts w:asciiTheme="minorEastAsia" w:hAnsiTheme="minorEastAsia"/>
                <w:szCs w:val="21"/>
              </w:rPr>
              <w:drawing>
                <wp:inline distT="0" distB="0" distL="0" distR="0">
                  <wp:extent cx="368300" cy="114300"/>
                  <wp:effectExtent l="19050" t="0" r="0" b="0"/>
                  <wp:docPr id="24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35"/>
                          <pic:cNvPicPr>
                            <a:picLocks noChangeAspect="1" noChangeArrowheads="1"/>
                          </pic:cNvPicPr>
                        </pic:nvPicPr>
                        <pic:blipFill>
                          <a:blip r:embed="rId24"/>
                          <a:srcRect/>
                          <a:stretch>
                            <a:fillRect/>
                          </a:stretch>
                        </pic:blipFill>
                        <pic:spPr>
                          <a:xfrm>
                            <a:off x="0" y="0"/>
                            <a:ext cx="3683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984250" cy="114300"/>
                  <wp:effectExtent l="19050" t="0" r="6350" b="0"/>
                  <wp:docPr id="25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36"/>
                          <pic:cNvPicPr>
                            <a:picLocks noChangeAspect="1" noChangeArrowheads="1"/>
                          </pic:cNvPicPr>
                        </pic:nvPicPr>
                        <pic:blipFill>
                          <a:blip r:embed="rId25"/>
                          <a:srcRect/>
                          <a:stretch>
                            <a:fillRect/>
                          </a:stretch>
                        </pic:blipFill>
                        <pic:spPr>
                          <a:xfrm>
                            <a:off x="0" y="0"/>
                            <a:ext cx="984250" cy="114300"/>
                          </a:xfrm>
                          <a:prstGeom prst="rect">
                            <a:avLst/>
                          </a:prstGeom>
                          <a:noFill/>
                          <a:ln w="9525">
                            <a:noFill/>
                            <a:miter lim="800000"/>
                            <a:headEnd/>
                            <a:tailEnd/>
                          </a:ln>
                        </pic:spPr>
                      </pic:pic>
                    </a:graphicData>
                  </a:graphic>
                </wp:inline>
              </w:drawing>
            </w:r>
            <w:r>
              <w:rPr>
                <w:rFonts w:asciiTheme="minorEastAsia" w:hAnsiTheme="minorEastAsia"/>
                <w:szCs w:val="21"/>
              </w:rPr>
              <w:t>27.91%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294" w:type="dxa"/>
            <w:shd w:val="clear" w:color="auto" w:fill="F9F9F9"/>
            <w:vAlign w:val="center"/>
          </w:tcPr>
          <w:p>
            <w:pPr>
              <w:rPr>
                <w:rFonts w:asciiTheme="minorEastAsia" w:hAnsiTheme="minorEastAsia"/>
                <w:szCs w:val="21"/>
              </w:rPr>
            </w:pPr>
            <w:r>
              <w:rPr>
                <w:rFonts w:asciiTheme="minorEastAsia" w:hAnsiTheme="minorEastAsia"/>
                <w:szCs w:val="21"/>
              </w:rPr>
              <w:t>社区管理</w:t>
            </w:r>
          </w:p>
        </w:tc>
        <w:tc>
          <w:tcPr>
            <w:tcW w:w="4333" w:type="dxa"/>
            <w:shd w:val="clear" w:color="auto" w:fill="F9F9F9"/>
            <w:vAlign w:val="center"/>
          </w:tcPr>
          <w:p>
            <w:pPr>
              <w:rPr>
                <w:rFonts w:asciiTheme="minorEastAsia" w:hAnsiTheme="minorEastAsia"/>
                <w:szCs w:val="21"/>
              </w:rPr>
            </w:pPr>
            <w:r>
              <w:rPr>
                <w:rFonts w:asciiTheme="minorEastAsia" w:hAnsiTheme="minorEastAsia"/>
                <w:szCs w:val="21"/>
              </w:rPr>
              <w:drawing>
                <wp:inline distT="0" distB="0" distL="0" distR="0">
                  <wp:extent cx="279400" cy="114300"/>
                  <wp:effectExtent l="19050" t="0" r="6350" b="0"/>
                  <wp:docPr id="25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37"/>
                          <pic:cNvPicPr>
                            <a:picLocks noChangeAspect="1" noChangeArrowheads="1"/>
                          </pic:cNvPicPr>
                        </pic:nvPicPr>
                        <pic:blipFill>
                          <a:blip r:embed="rId22"/>
                          <a:srcRect/>
                          <a:stretch>
                            <a:fillRect/>
                          </a:stretch>
                        </pic:blipFill>
                        <pic:spPr>
                          <a:xfrm>
                            <a:off x="0" y="0"/>
                            <a:ext cx="279400" cy="114300"/>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1073150" cy="114300"/>
                  <wp:effectExtent l="19050" t="0" r="0" b="0"/>
                  <wp:docPr id="25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8"/>
                          <pic:cNvPicPr>
                            <a:picLocks noChangeAspect="1" noChangeArrowheads="1"/>
                          </pic:cNvPicPr>
                        </pic:nvPicPr>
                        <pic:blipFill>
                          <a:blip r:embed="rId23"/>
                          <a:srcRect/>
                          <a:stretch>
                            <a:fillRect/>
                          </a:stretch>
                        </pic:blipFill>
                        <pic:spPr>
                          <a:xfrm>
                            <a:off x="0" y="0"/>
                            <a:ext cx="1073150" cy="114300"/>
                          </a:xfrm>
                          <a:prstGeom prst="rect">
                            <a:avLst/>
                          </a:prstGeom>
                          <a:noFill/>
                          <a:ln w="9525">
                            <a:noFill/>
                            <a:miter lim="800000"/>
                            <a:headEnd/>
                            <a:tailEnd/>
                          </a:ln>
                        </pic:spPr>
                      </pic:pic>
                    </a:graphicData>
                  </a:graphic>
                </wp:inline>
              </w:drawing>
            </w:r>
            <w:r>
              <w:rPr>
                <w:rFonts w:asciiTheme="minorEastAsia" w:hAnsiTheme="minorEastAsia"/>
                <w:szCs w:val="21"/>
              </w:rPr>
              <w:t>20.93%</w:t>
            </w:r>
          </w:p>
        </w:tc>
      </w:tr>
    </w:tbl>
    <w:p>
      <w:pPr>
        <w:jc w:val="center"/>
        <w:rPr>
          <w:rFonts w:asciiTheme="minorEastAsia" w:hAnsiTheme="minorEastAsia"/>
          <w:szCs w:val="21"/>
        </w:rPr>
      </w:pPr>
      <w:r>
        <w:rPr>
          <w:rFonts w:hint="eastAsia" w:asciiTheme="minorEastAsia" w:hAnsiTheme="minorEastAsia"/>
          <w:szCs w:val="21"/>
        </w:rPr>
        <w:t>图5：受访居民遇到的法律问题或纠纷的领域</w:t>
      </w:r>
    </w:p>
    <w:p>
      <w:pPr>
        <w:spacing w:line="400" w:lineRule="exact"/>
        <w:ind w:firstLine="420" w:firstLineChars="200"/>
        <w:rPr>
          <w:rFonts w:asciiTheme="minorEastAsia" w:hAnsiTheme="minorEastAsia"/>
          <w:szCs w:val="21"/>
        </w:rPr>
      </w:pPr>
    </w:p>
    <w:p>
      <w:pPr>
        <w:spacing w:line="400" w:lineRule="exact"/>
        <w:ind w:firstLine="420" w:firstLineChars="200"/>
        <w:rPr>
          <w:rFonts w:asciiTheme="minorEastAsia" w:hAnsiTheme="minorEastAsia"/>
          <w:szCs w:val="21"/>
        </w:rPr>
      </w:pPr>
      <w:r>
        <w:rPr>
          <w:rFonts w:hint="eastAsia" w:asciiTheme="minorEastAsia" w:hAnsiTheme="minorEastAsia"/>
          <w:szCs w:val="21"/>
        </w:rPr>
        <w:t>由此可见，财产继承、房屋产权及拆迁、婚姻家庭、社区及物业管理、社会保障政策等是社区居民关注的法律焦点，也是纠纷多发领域。因此，在课程案例的选择上侧重以上领域，按照不同类别，总结归纳各个类别的特点、不同纠纷化解方法及技巧，作为课堂分类案例实训的资料。</w:t>
      </w:r>
    </w:p>
    <w:p>
      <w:pPr>
        <w:spacing w:line="400" w:lineRule="exact"/>
        <w:ind w:firstLine="422" w:firstLineChars="200"/>
        <w:rPr>
          <w:rFonts w:asciiTheme="minorEastAsia" w:hAnsiTheme="minorEastAsia"/>
          <w:b/>
          <w:szCs w:val="21"/>
        </w:rPr>
      </w:pPr>
      <w:r>
        <w:rPr>
          <w:rFonts w:hint="eastAsia" w:asciiTheme="minorEastAsia" w:hAnsiTheme="minorEastAsia"/>
          <w:b/>
          <w:szCs w:val="21"/>
        </w:rPr>
        <w:t>（二）案例教学方法的创新尝试</w:t>
      </w:r>
    </w:p>
    <w:p>
      <w:pPr>
        <w:spacing w:line="400" w:lineRule="exact"/>
        <w:ind w:firstLine="420" w:firstLineChars="200"/>
        <w:rPr>
          <w:rFonts w:asciiTheme="minorEastAsia" w:hAnsiTheme="minorEastAsia"/>
          <w:szCs w:val="21"/>
        </w:rPr>
      </w:pPr>
      <w:r>
        <w:rPr>
          <w:rFonts w:hint="eastAsia" w:asciiTheme="minorEastAsia" w:hAnsiTheme="minorEastAsia"/>
          <w:szCs w:val="21"/>
        </w:rPr>
        <w:t>正如前所述，社区纠纷大多集中于婚姻家庭、财产继承、邻里关系、物业管理等方面。这些纠纷所涉及的法律制度各有不同，但很多都是在社区调解中解决，在调解过程中也形成了一些共同的方法和特点，例如纠纷双方有可能存在各种关系，各方的关系往往成为纠纷的焦点，诸如夫妻、父母子女、兄弟姐妹等，这些关系的存在成为调解的基础。在调查和访谈过程中，有很多受访社区工作者本身兼任社区的民事调解员。同时，各社区基本都通过政府购买服务的方式，聘请律师定期到社区提供法律援助，参与民事纠纷调解。不管是社区工作者，抑或从事调解的律师，都是法学专业学生未来可能从事的职业。因此，在课程的设置中，需要将社区法律纠纷解决中所反映出来的对学生的素质要求，加入培养计划中，通过法律思维、基础心理学、社会心理学、心理咨询技能等多方面的结合，力求从多元化纠纷解决的视角培养学生多方面的技能。</w:t>
      </w:r>
    </w:p>
    <w:p>
      <w:pPr>
        <w:spacing w:line="400" w:lineRule="exact"/>
        <w:ind w:firstLine="420" w:firstLineChars="200"/>
        <w:rPr>
          <w:rFonts w:asciiTheme="minorEastAsia" w:hAnsiTheme="minorEastAsia"/>
          <w:szCs w:val="21"/>
        </w:rPr>
      </w:pPr>
      <w:r>
        <w:rPr>
          <w:rFonts w:hint="eastAsia" w:asciiTheme="minorEastAsia" w:hAnsiTheme="minorEastAsia"/>
          <w:szCs w:val="21"/>
        </w:rPr>
        <w:t>具体来说，在教学实践中，根据真实纠纷案例的特点，设置知识点和考核点，并且在教学方式上做了新的尝试：</w:t>
      </w:r>
    </w:p>
    <w:p>
      <w:pPr>
        <w:spacing w:line="400" w:lineRule="exact"/>
        <w:ind w:firstLine="420" w:firstLineChars="200"/>
        <w:rPr>
          <w:rFonts w:asciiTheme="minorEastAsia" w:hAnsiTheme="minorEastAsia"/>
          <w:szCs w:val="21"/>
        </w:rPr>
      </w:pPr>
      <w:r>
        <w:rPr>
          <w:rFonts w:hint="eastAsia" w:asciiTheme="minorEastAsia" w:hAnsiTheme="minorEastAsia"/>
          <w:szCs w:val="21"/>
        </w:rPr>
        <w:t>1.拟将外专业的一些知识、方法或技巧引入到法学课程的学习中。法学专业的学生除了学习系统的法律基础知识、培养逻辑推理思维等之外，仍然需要借鉴其他学科的知识进行多层次技能的培养。法学是实践的学科，需要积累一定的人生阅历，对社会有一定的接触和了解，才能更深入体会法条规定背后的原因。以北城法学专业为例，专业历来重视实践教学，以培养应用型人才为目标，基于此，在课程设置上借鉴其他学科知识，利用学科的交叉性，培养学生多层次的实践技能。</w:t>
      </w:r>
    </w:p>
    <w:p>
      <w:pPr>
        <w:spacing w:line="400" w:lineRule="exact"/>
        <w:ind w:firstLine="420" w:firstLineChars="200"/>
        <w:rPr>
          <w:rFonts w:asciiTheme="minorEastAsia" w:hAnsiTheme="minorEastAsia"/>
          <w:szCs w:val="21"/>
        </w:rPr>
      </w:pPr>
      <w:r>
        <w:rPr>
          <w:rFonts w:hint="eastAsia" w:asciiTheme="minorEastAsia" w:hAnsiTheme="minorEastAsia"/>
          <w:szCs w:val="21"/>
        </w:rPr>
        <w:t>（1）运用基础心理学的基本知识，对人的性格特征进行“诊断”。基础心理学将人的气质大致分为抑郁质、胆汁质、黏液质、多血质，分别具有各自的性格特点。运用到社区纠纷调解中，调解人员根据不同的人，适用不同的对话、沟通技巧。虽然学生缺乏纠纷中真实的生活体验，但在案例教学实践中，通过基础心理学知识的学习，有助于培养学生认识“自我”和“他人”的能力。</w:t>
      </w:r>
    </w:p>
    <w:p>
      <w:pPr>
        <w:spacing w:line="400" w:lineRule="exact"/>
        <w:ind w:firstLine="420" w:firstLineChars="200"/>
        <w:rPr>
          <w:rFonts w:asciiTheme="minorEastAsia" w:hAnsiTheme="minorEastAsia"/>
          <w:szCs w:val="21"/>
        </w:rPr>
      </w:pPr>
      <w:r>
        <w:rPr>
          <w:rFonts w:hint="eastAsia" w:asciiTheme="minorEastAsia" w:hAnsiTheme="minorEastAsia"/>
          <w:szCs w:val="21"/>
        </w:rPr>
        <w:t>（2）运用心理咨询中建立良好关系的技巧，学习如何与当事人建立良好的信任关系，打破僵局、化解矛盾。作为中立的调解人员，在整个调解过程中，既不同于中立的法官，也不同于纠纷双方的亲属朋友。建立与当事人的良好关系，往往成为调解是否成功的关键。建立良好的关系，可以通过积极关注、尊重、热情、真诚、共情来达到。在案例教学实践中，有针对性的帮助学生了解、学习这些方法，培养学生顺利建立良好信任关系的能力。</w:t>
      </w:r>
    </w:p>
    <w:p>
      <w:pPr>
        <w:spacing w:line="400" w:lineRule="exact"/>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通过学习和实践心理学基础知识，理解纠纷中各方当事人的心理状态和心理需求，根据不同当事人的性格特点，找到纠纷化解的关键。人的需要分为几个层次：生理的需要、安全的需要、爱和归属的需要、尊重的需要、自我实现的需要。纠纷来源于不同的心理需要，在案例教学实践中，帮助学生理解当事人真正的心理需求，是化解纠纷的关键，培养学生及时化解纠纷的能力。</w:t>
      </w:r>
    </w:p>
    <w:p>
      <w:pPr>
        <w:spacing w:line="400" w:lineRule="exact"/>
        <w:ind w:firstLine="420" w:firstLineChars="200"/>
        <w:rPr>
          <w:rFonts w:asciiTheme="minorEastAsia" w:hAnsiTheme="minorEastAsia"/>
          <w:szCs w:val="21"/>
        </w:rPr>
      </w:pPr>
      <w:r>
        <w:rPr>
          <w:rFonts w:hint="eastAsia" w:asciiTheme="minorEastAsia" w:hAnsiTheme="minorEastAsia"/>
          <w:szCs w:val="21"/>
        </w:rPr>
        <w:t>（4）链接各方资源，形成支持网络，帮助当事人脱离困境，从而化解矛盾冲突。例如，在许多家庭赡养纠纷中，经济问题可能是纠纷产生的重要原因，在调解中，通过链接资源，切实帮助当事人得到经济上的资助，往往能够顺利化解纠纷。</w:t>
      </w:r>
    </w:p>
    <w:p>
      <w:pPr>
        <w:spacing w:line="400" w:lineRule="exact"/>
        <w:ind w:firstLine="420" w:firstLineChars="200"/>
        <w:rPr>
          <w:rFonts w:asciiTheme="minorEastAsia" w:hAnsiTheme="minorEastAsia"/>
          <w:szCs w:val="21"/>
        </w:rPr>
      </w:pPr>
      <w:r>
        <w:rPr>
          <w:rFonts w:hint="eastAsia" w:asciiTheme="minorEastAsia" w:hAnsiTheme="minorEastAsia"/>
          <w:szCs w:val="21"/>
        </w:rPr>
        <w:t>（5）运用个体心理咨询的技巧，疏解心理问题，缓解不良情绪，一定程度上化解当事人之间的矛盾。</w:t>
      </w:r>
    </w:p>
    <w:p>
      <w:pPr>
        <w:spacing w:line="400" w:lineRule="exact"/>
        <w:ind w:firstLine="420" w:firstLineChars="200"/>
        <w:rPr>
          <w:rFonts w:asciiTheme="minorEastAsia" w:hAnsiTheme="minorEastAsia"/>
          <w:szCs w:val="21"/>
        </w:rPr>
      </w:pPr>
      <w:r>
        <w:rPr>
          <w:rFonts w:hint="eastAsia" w:asciiTheme="minorEastAsia" w:hAnsiTheme="minorEastAsia"/>
          <w:szCs w:val="21"/>
        </w:rPr>
        <w:t>2. 情景模拟教学方法。 社区法律调解所涉及的案例，大多集中于婚姻家庭、财产继承、邻里关系、物业管理等方面。为了能够让学生真实的情景中感受到案例中的人情世故、复杂关系，采取的教学方式为情景模拟教学的方式。</w:t>
      </w:r>
    </w:p>
    <w:p>
      <w:pPr>
        <w:spacing w:line="400" w:lineRule="exact"/>
        <w:ind w:firstLine="420" w:firstLineChars="200"/>
        <w:rPr>
          <w:rFonts w:asciiTheme="minorEastAsia" w:hAnsiTheme="minorEastAsia"/>
          <w:szCs w:val="21"/>
        </w:rPr>
      </w:pPr>
      <w:r>
        <w:rPr>
          <w:rFonts w:hint="eastAsia" w:asciiTheme="minorEastAsia" w:hAnsiTheme="minorEastAsia"/>
          <w:szCs w:val="21"/>
        </w:rPr>
        <w:t>严格来说，模拟教学并非全新的教学方式。不过，在该门课程教学设计中，拟在传统的案例教学方式基础上，将纠纷可能面临的现实冲突情景搬到课堂。同时，要求学生提供身边或所在社区的一些真实案例，增强现实感。引导学生在实际情景中体会纠纷解决中需要运用的多种方法和技巧，并将传统法学理论知识、心理咨询方法、社会工作方法运用到案例纠纷解决中。</w:t>
      </w:r>
    </w:p>
    <w:p>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五、法学案例教学实践创新面临的问题及反思</w:t>
      </w:r>
    </w:p>
    <w:p>
      <w:pPr>
        <w:spacing w:line="400" w:lineRule="exact"/>
        <w:ind w:firstLine="420" w:firstLineChars="200"/>
        <w:rPr>
          <w:rFonts w:asciiTheme="minorEastAsia" w:hAnsiTheme="minorEastAsia"/>
          <w:szCs w:val="21"/>
        </w:rPr>
      </w:pPr>
      <w:r>
        <w:rPr>
          <w:rFonts w:hint="eastAsia" w:asciiTheme="minorEastAsia" w:hAnsiTheme="minorEastAsia"/>
          <w:szCs w:val="21"/>
        </w:rPr>
        <w:t>在法学案例教学中加入多学科知识，运用不同以往的案例教学方法，进行了一定的改革创新，通过相关教学实践，学生普遍反映增强了心理素质和应变能力，锻炼了归纳、概括的能力，提高了沟通交流、专业谈判的能力，对理论知识有了更深入的理解。</w:t>
      </w:r>
    </w:p>
    <w:p>
      <w:pPr>
        <w:spacing w:line="400" w:lineRule="exact"/>
        <w:ind w:firstLine="420" w:firstLineChars="200"/>
        <w:rPr>
          <w:rFonts w:asciiTheme="minorEastAsia" w:hAnsiTheme="minorEastAsia"/>
          <w:szCs w:val="21"/>
        </w:rPr>
      </w:pPr>
      <w:r>
        <w:rPr>
          <w:rFonts w:hint="eastAsia" w:asciiTheme="minorEastAsia" w:hAnsiTheme="minorEastAsia"/>
          <w:szCs w:val="21"/>
        </w:rPr>
        <w:t>尽管如此，在适应城市社区纠纷化解的需要中，法学案例教学实践仍然有许多问题有待解决。一是法学案例教学助力于社区纠纷化解，并非一朝一夕之事，其效果需要通过法学毕业生进入社区法律服务工作才能得到具体验证，这也是此次研究需要继续深入的地方；二是打破惯性思维并非易事，法学专业的学生经过近三年的学习，形成初步的法律思维模式。在此基础上通过实训引入其他学科知识的学习和技能的培养，存在如何深入的问题，浅层次的教学不能达到较理想的效果。需要更多时间、更多课程的实践。三是本科层次的学生在面对社区真实纠纷时，除了理解和运用法律知识点，因缺乏相应的社会经验和人生阅历，因此在对当事人的心理状态的分析、现实需求的理解上，存在一定的困难，需要教师更为耐心、细致的讲解和引导，也需要更多真实案例的实训培养。</w:t>
      </w:r>
    </w:p>
    <w:p>
      <w:pPr>
        <w:spacing w:line="360" w:lineRule="auto"/>
        <w:ind w:firstLine="200"/>
        <w:rPr>
          <w:rFonts w:asciiTheme="minorEastAsia" w:hAnsiTheme="minorEastAsia"/>
          <w:szCs w:val="21"/>
        </w:rPr>
      </w:pPr>
    </w:p>
    <w:p>
      <w:pPr>
        <w:spacing w:line="360" w:lineRule="auto"/>
        <w:ind w:firstLine="200"/>
        <w:rPr>
          <w:sz w:val="24"/>
          <w:szCs w:val="24"/>
        </w:rPr>
      </w:pPr>
    </w:p>
    <w:p>
      <w:pPr>
        <w:spacing w:line="360" w:lineRule="auto"/>
        <w:ind w:firstLine="200"/>
        <w:rPr>
          <w:sz w:val="24"/>
          <w:szCs w:val="24"/>
        </w:rPr>
      </w:pPr>
    </w:p>
    <w:p>
      <w:pPr>
        <w:spacing w:line="360" w:lineRule="auto"/>
        <w:ind w:firstLine="200"/>
        <w:rPr>
          <w:b/>
          <w:szCs w:val="21"/>
        </w:rPr>
      </w:pPr>
      <w:r>
        <w:rPr>
          <w:rFonts w:hint="eastAsia"/>
          <w:b/>
          <w:szCs w:val="21"/>
        </w:rPr>
        <w:t>参考文献：</w:t>
      </w:r>
    </w:p>
    <w:p>
      <w:pPr>
        <w:spacing w:line="360" w:lineRule="auto"/>
        <w:ind w:firstLine="200"/>
        <w:rPr>
          <w:rFonts w:cs="Arial" w:asciiTheme="minorEastAsia" w:hAnsiTheme="minorEastAsia"/>
          <w:color w:val="292929"/>
          <w:szCs w:val="21"/>
        </w:rPr>
      </w:pPr>
      <w:r>
        <w:rPr>
          <w:rFonts w:hint="eastAsia" w:cs="Arial" w:asciiTheme="minorEastAsia" w:hAnsiTheme="minorEastAsia"/>
          <w:color w:val="292929"/>
          <w:szCs w:val="21"/>
        </w:rPr>
        <w:t>[1]</w:t>
      </w:r>
      <w:r>
        <w:rPr>
          <w:rFonts w:hint="eastAsia" w:asciiTheme="minorEastAsia" w:hAnsiTheme="minorEastAsia"/>
          <w:szCs w:val="21"/>
        </w:rPr>
        <w:t xml:space="preserve"> 王泽鉴.</w:t>
      </w:r>
      <w:r>
        <w:rPr>
          <w:rFonts w:cs="Arial" w:asciiTheme="minorEastAsia" w:hAnsiTheme="minorEastAsia"/>
          <w:color w:val="292929"/>
          <w:szCs w:val="21"/>
        </w:rPr>
        <w:t>法学案例教学模式的探索与创新</w:t>
      </w:r>
      <w:r>
        <w:rPr>
          <w:rFonts w:hint="eastAsia" w:asciiTheme="minorEastAsia" w:hAnsiTheme="minorEastAsia"/>
          <w:color w:val="000000"/>
          <w:szCs w:val="21"/>
        </w:rPr>
        <w:t>［</w:t>
      </w:r>
      <w:r>
        <w:rPr>
          <w:rFonts w:ascii="Times New Roman" w:hAnsi="Times New Roman" w:cs="Times New Roman"/>
          <w:color w:val="000000"/>
          <w:szCs w:val="21"/>
        </w:rPr>
        <w:t>J</w:t>
      </w:r>
      <w:r>
        <w:rPr>
          <w:rFonts w:hint="eastAsia" w:asciiTheme="minorEastAsia" w:hAnsiTheme="minorEastAsia"/>
          <w:color w:val="000000"/>
          <w:szCs w:val="21"/>
        </w:rPr>
        <w:t>］</w:t>
      </w:r>
      <w:r>
        <w:rPr>
          <w:rFonts w:hint="eastAsia" w:cs="Arial" w:asciiTheme="minorEastAsia" w:hAnsiTheme="minorEastAsia"/>
          <w:color w:val="292929"/>
          <w:szCs w:val="21"/>
        </w:rPr>
        <w:t>.</w:t>
      </w:r>
      <w:r>
        <w:rPr>
          <w:rFonts w:cs="Arial" w:asciiTheme="minorEastAsia" w:hAnsiTheme="minorEastAsia"/>
          <w:color w:val="292929"/>
          <w:szCs w:val="21"/>
        </w:rPr>
        <w:t>法学</w:t>
      </w:r>
      <w:r>
        <w:rPr>
          <w:rFonts w:hint="eastAsia" w:cs="Arial" w:asciiTheme="minorEastAsia" w:hAnsiTheme="minorEastAsia"/>
          <w:color w:val="292929"/>
          <w:szCs w:val="21"/>
        </w:rPr>
        <w:t>，</w:t>
      </w:r>
      <w:r>
        <w:rPr>
          <w:rFonts w:cs="Arial" w:asciiTheme="minorEastAsia" w:hAnsiTheme="minorEastAsia"/>
          <w:color w:val="292929"/>
          <w:szCs w:val="21"/>
        </w:rPr>
        <w:t>2013</w:t>
      </w:r>
      <w:r>
        <w:rPr>
          <w:rFonts w:hint="eastAsia" w:cs="Arial" w:asciiTheme="minorEastAsia" w:hAnsiTheme="minorEastAsia"/>
          <w:color w:val="292929"/>
          <w:szCs w:val="21"/>
        </w:rPr>
        <w:t>,(4)：40-41.</w:t>
      </w:r>
    </w:p>
    <w:p>
      <w:pPr>
        <w:spacing w:line="360" w:lineRule="auto"/>
        <w:ind w:firstLine="200"/>
        <w:rPr>
          <w:rFonts w:asciiTheme="minorEastAsia" w:hAnsiTheme="minorEastAsia"/>
          <w:sz w:val="24"/>
          <w:szCs w:val="24"/>
        </w:rPr>
      </w:pPr>
      <w:r>
        <w:rPr>
          <w:rFonts w:hint="eastAsia" w:cs="Arial" w:asciiTheme="minorEastAsia" w:hAnsiTheme="minorEastAsia"/>
          <w:color w:val="292929"/>
          <w:szCs w:val="21"/>
        </w:rPr>
        <w:t>[2]</w:t>
      </w:r>
      <w:r>
        <w:rPr>
          <w:rFonts w:hint="eastAsia" w:asciiTheme="minorEastAsia" w:hAnsiTheme="minorEastAsia"/>
          <w:szCs w:val="21"/>
        </w:rPr>
        <w:t xml:space="preserve"> 中华女子学院.法学院简介</w:t>
      </w:r>
      <w:r>
        <w:rPr>
          <w:rFonts w:asciiTheme="minorEastAsia" w:hAnsiTheme="minorEastAsia" w:cstheme="minorHAnsi"/>
          <w:color w:val="000000"/>
          <w:szCs w:val="21"/>
        </w:rPr>
        <w:t>［</w:t>
      </w:r>
      <w:r>
        <w:rPr>
          <w:rFonts w:ascii="Times New Roman" w:hAnsi="Times New Roman" w:cs="Times New Roman"/>
          <w:color w:val="000000"/>
          <w:szCs w:val="21"/>
        </w:rPr>
        <w:t>EB/OL</w:t>
      </w:r>
      <w:r>
        <w:rPr>
          <w:rFonts w:asciiTheme="minorEastAsia" w:hAnsiTheme="minorEastAsia" w:cstheme="minorHAnsi"/>
          <w:color w:val="000000"/>
          <w:szCs w:val="21"/>
        </w:rPr>
        <w:t>］</w:t>
      </w:r>
      <w:r>
        <w:rPr>
          <w:rFonts w:asciiTheme="minorEastAsia" w:hAnsiTheme="minorEastAsia" w:cstheme="minorHAnsi"/>
          <w:szCs w:val="21"/>
        </w:rPr>
        <w:t>.</w:t>
      </w:r>
      <w:r>
        <w:rPr>
          <w:rFonts w:asciiTheme="minorEastAsia" w:hAnsiTheme="minorEastAsia" w:cstheme="minorHAnsi"/>
          <w:color w:val="000000"/>
          <w:szCs w:val="21"/>
        </w:rPr>
        <w:t>[2018-06-04].</w:t>
      </w:r>
      <w:r>
        <w:rPr>
          <w:rFonts w:asciiTheme="minorEastAsia" w:hAnsiTheme="minorEastAsia"/>
          <w:szCs w:val="21"/>
        </w:rPr>
        <w:t xml:space="preserve"> </w:t>
      </w:r>
      <w:r>
        <w:fldChar w:fldCharType="begin"/>
      </w:r>
      <w:r>
        <w:instrText xml:space="preserve"> HYPERLINK "http://www.cwu.edu.cn/fxy/xygk/xyjj/index.htm" </w:instrText>
      </w:r>
      <w:r>
        <w:fldChar w:fldCharType="separate"/>
      </w:r>
      <w:r>
        <w:rPr>
          <w:rStyle w:val="9"/>
          <w:rFonts w:ascii="Times New Roman" w:hAnsi="Times New Roman" w:cs="Times New Roman"/>
          <w:szCs w:val="21"/>
        </w:rPr>
        <w:t>http://www.cwu.edu.cn/fxy/xygk/xyjj/index.htm</w:t>
      </w:r>
      <w:r>
        <w:rPr>
          <w:rStyle w:val="9"/>
          <w:rFonts w:ascii="Times New Roman" w:hAnsi="Times New Roman" w:cs="Times New Roman"/>
          <w:szCs w:val="21"/>
        </w:rPr>
        <w:fldChar w:fldCharType="end"/>
      </w:r>
      <w:r>
        <w:rPr>
          <w:rFonts w:hint="eastAsia" w:asciiTheme="minorEastAsia" w:hAnsiTheme="minorEastAsia"/>
          <w:szCs w:val="21"/>
        </w:rPr>
        <w:t>.</w:t>
      </w:r>
    </w:p>
    <w:p>
      <w:pPr>
        <w:spacing w:line="360" w:lineRule="auto"/>
        <w:ind w:firstLine="200"/>
        <w:rPr>
          <w:rFonts w:cs="Arial" w:asciiTheme="minorEastAsia" w:hAnsiTheme="minorEastAsia"/>
          <w:color w:val="292929"/>
          <w:szCs w:val="21"/>
        </w:rPr>
      </w:pPr>
      <w:r>
        <w:rPr>
          <w:rFonts w:hint="eastAsia" w:cs="Arial" w:asciiTheme="minorEastAsia" w:hAnsiTheme="minorEastAsia"/>
          <w:color w:val="292929"/>
          <w:szCs w:val="21"/>
        </w:rPr>
        <w:t>[3]陈弘毅.</w:t>
      </w:r>
      <w:r>
        <w:rPr>
          <w:rFonts w:cs="Arial" w:asciiTheme="minorEastAsia" w:hAnsiTheme="minorEastAsia"/>
          <w:color w:val="292929"/>
          <w:szCs w:val="21"/>
        </w:rPr>
        <w:t>调解、诉讼与公正——对现代自由社会和儒家传统的反思</w:t>
      </w:r>
      <w:r>
        <w:rPr>
          <w:rFonts w:hint="eastAsia" w:asciiTheme="minorEastAsia" w:hAnsiTheme="minorEastAsia"/>
          <w:color w:val="000000"/>
          <w:szCs w:val="21"/>
        </w:rPr>
        <w:t>［</w:t>
      </w:r>
      <w:r>
        <w:rPr>
          <w:rFonts w:ascii="Times New Roman" w:hAnsi="Times New Roman" w:cs="Times New Roman"/>
          <w:color w:val="000000"/>
          <w:szCs w:val="21"/>
        </w:rPr>
        <w:t>J</w:t>
      </w:r>
      <w:r>
        <w:rPr>
          <w:rFonts w:hint="eastAsia" w:asciiTheme="minorEastAsia" w:hAnsiTheme="minorEastAsia"/>
          <w:color w:val="000000"/>
          <w:szCs w:val="21"/>
        </w:rPr>
        <w:t>］</w:t>
      </w:r>
      <w:r>
        <w:rPr>
          <w:rFonts w:hint="eastAsia" w:cs="Arial" w:asciiTheme="minorEastAsia" w:hAnsiTheme="minorEastAsia"/>
          <w:color w:val="292929"/>
          <w:szCs w:val="21"/>
        </w:rPr>
        <w:t>.现代法学，2001,(3)：3-14.</w:t>
      </w:r>
    </w:p>
    <w:p>
      <w:pPr>
        <w:ind w:firstLine="420" w:firstLineChars="200"/>
        <w:rPr>
          <w:rFonts w:asciiTheme="minorEastAsia" w:hAnsiTheme="minorEastAsia"/>
        </w:rPr>
      </w:pPr>
    </w:p>
    <w:p>
      <w:pPr>
        <w:ind w:firstLine="420" w:firstLineChars="200"/>
        <w:rPr>
          <w:rFonts w:asciiTheme="minorEastAsia" w:hAnsiTheme="minorEastAsia"/>
        </w:rPr>
      </w:pPr>
    </w:p>
    <w:p>
      <w:pPr>
        <w:rPr>
          <w:rFonts w:asciiTheme="minorEastAsia" w:hAnsiTheme="minorEastAsia"/>
        </w:rPr>
      </w:pPr>
    </w:p>
    <w:p>
      <w:pPr>
        <w:spacing w:line="360" w:lineRule="auto"/>
        <w:ind w:firstLine="420" w:firstLineChars="200"/>
        <w:jc w:val="center"/>
        <w:rPr>
          <w:rFonts w:ascii="Times New Roman" w:hAnsi="Times New Roman" w:cs="Times New Roman"/>
          <w:bCs/>
          <w:szCs w:val="21"/>
        </w:rPr>
      </w:pPr>
      <w:r>
        <w:rPr>
          <w:rFonts w:hint="eastAsia" w:ascii="Times New Roman" w:hAnsi="Times New Roman" w:cs="Times New Roman"/>
          <w:bCs/>
          <w:szCs w:val="21"/>
        </w:rPr>
        <w:t>Integrated Research</w:t>
      </w:r>
      <w:r>
        <w:rPr>
          <w:rFonts w:ascii="Times New Roman" w:hAnsi="Times New Roman" w:cs="Times New Roman"/>
          <w:bCs/>
          <w:szCs w:val="21"/>
        </w:rPr>
        <w:t xml:space="preserve"> o</w:t>
      </w:r>
      <w:r>
        <w:rPr>
          <w:rFonts w:hint="eastAsia" w:ascii="Times New Roman" w:hAnsi="Times New Roman" w:cs="Times New Roman"/>
          <w:bCs/>
          <w:szCs w:val="21"/>
        </w:rPr>
        <w:t>n</w:t>
      </w:r>
      <w:r>
        <w:rPr>
          <w:rFonts w:ascii="Times New Roman" w:hAnsi="Times New Roman" w:cs="Times New Roman"/>
          <w:bCs/>
          <w:szCs w:val="21"/>
        </w:rPr>
        <w:t xml:space="preserve"> Dispute Resolution in Urban Communit</w:t>
      </w:r>
      <w:r>
        <w:rPr>
          <w:rFonts w:hint="eastAsia" w:ascii="Times New Roman" w:hAnsi="Times New Roman" w:cs="Times New Roman"/>
          <w:bCs/>
          <w:szCs w:val="21"/>
        </w:rPr>
        <w:t>ies</w:t>
      </w:r>
      <w:r>
        <w:rPr>
          <w:rFonts w:ascii="Times New Roman" w:hAnsi="Times New Roman" w:cs="Times New Roman"/>
          <w:bCs/>
          <w:szCs w:val="21"/>
        </w:rPr>
        <w:t xml:space="preserve"> and Law Teaching</w:t>
      </w:r>
    </w:p>
    <w:p>
      <w:pPr>
        <w:ind w:firstLine="420" w:firstLineChars="200"/>
        <w:jc w:val="center"/>
        <w:rPr>
          <w:rFonts w:ascii="Times New Roman" w:hAnsi="Times New Roman" w:cs="Times New Roman"/>
        </w:rPr>
      </w:pPr>
      <w:r>
        <w:rPr>
          <w:rFonts w:ascii="Times New Roman" w:hAnsi="Times New Roman" w:cs="Times New Roman"/>
        </w:rPr>
        <w:t>H</w:t>
      </w:r>
      <w:r>
        <w:rPr>
          <w:rFonts w:hint="eastAsia" w:ascii="Times New Roman" w:hAnsi="Times New Roman" w:cs="Times New Roman"/>
        </w:rPr>
        <w:t>E</w:t>
      </w:r>
      <w:r>
        <w:rPr>
          <w:rFonts w:ascii="Times New Roman" w:hAnsi="Times New Roman" w:cs="Times New Roman"/>
        </w:rPr>
        <w:t xml:space="preserve"> </w:t>
      </w:r>
      <w:r>
        <w:rPr>
          <w:rFonts w:hint="eastAsia" w:ascii="Times New Roman" w:hAnsi="Times New Roman" w:cs="Times New Roman"/>
        </w:rPr>
        <w:t>Q</w:t>
      </w:r>
      <w:r>
        <w:rPr>
          <w:rFonts w:ascii="Times New Roman" w:hAnsi="Times New Roman" w:cs="Times New Roman"/>
        </w:rPr>
        <w:t>ian</w:t>
      </w:r>
    </w:p>
    <w:p>
      <w:pPr>
        <w:ind w:firstLine="420" w:firstLineChars="200"/>
        <w:jc w:val="center"/>
        <w:rPr>
          <w:rFonts w:ascii="Times New Roman" w:hAnsi="Times New Roman" w:cs="Times New Roman"/>
        </w:rPr>
      </w:pPr>
      <w:r>
        <w:rPr>
          <w:rFonts w:ascii="Times New Roman" w:hAnsi="Times New Roman" w:cs="Times New Roman"/>
        </w:rPr>
        <w:t>(Beijing City University, Beijing</w:t>
      </w:r>
      <w:r>
        <w:rPr>
          <w:rFonts w:hint="eastAsia" w:ascii="Times New Roman" w:hAnsi="Times New Roman" w:cs="Times New Roman"/>
        </w:rPr>
        <w:t xml:space="preserve"> </w:t>
      </w:r>
      <w:r>
        <w:rPr>
          <w:rFonts w:ascii="Times New Roman" w:hAnsi="Times New Roman" w:cs="Times New Roman"/>
        </w:rPr>
        <w:t>100083</w:t>
      </w:r>
      <w:r>
        <w:rPr>
          <w:rFonts w:hint="eastAsia" w:ascii="Times New Roman" w:hAnsi="Times New Roman" w:cs="Times New Roman"/>
        </w:rPr>
        <w:t>, China</w:t>
      </w:r>
      <w:r>
        <w:rPr>
          <w:rFonts w:ascii="Times New Roman" w:hAnsi="Times New Roman" w:cs="Times New Roman"/>
        </w:rPr>
        <w:t>)</w:t>
      </w:r>
    </w:p>
    <w:p>
      <w:pPr>
        <w:ind w:firstLine="420" w:firstLineChars="200"/>
        <w:jc w:val="center"/>
        <w:rPr>
          <w:rFonts w:ascii="Times New Roman" w:hAnsi="Times New Roman" w:cs="Times New Roman"/>
        </w:rPr>
      </w:pPr>
    </w:p>
    <w:p>
      <w:pPr>
        <w:spacing w:line="380" w:lineRule="atLeast"/>
        <w:ind w:firstLine="422" w:firstLineChars="200"/>
        <w:rPr>
          <w:rFonts w:ascii="Times New Roman" w:hAnsi="Times New Roman" w:cs="Times New Roman"/>
          <w:szCs w:val="21"/>
        </w:rPr>
      </w:pPr>
      <w:r>
        <w:rPr>
          <w:rFonts w:ascii="Times New Roman" w:hAnsi="Times New Roman" w:cs="Times New Roman"/>
          <w:b/>
          <w:szCs w:val="21"/>
        </w:rPr>
        <w:t>Abstract</w:t>
      </w:r>
      <w:r>
        <w:rPr>
          <w:rFonts w:ascii="Times New Roman" w:hAnsi="Times New Roman" w:cs="Times New Roman"/>
          <w:szCs w:val="21"/>
        </w:rPr>
        <w:t>: After years of development, the traditional case</w:t>
      </w:r>
      <w:r>
        <w:rPr>
          <w:rFonts w:hint="eastAsia" w:ascii="Times New Roman" w:hAnsi="Times New Roman" w:cs="Times New Roman"/>
          <w:szCs w:val="21"/>
        </w:rPr>
        <w:t xml:space="preserve"> </w:t>
      </w:r>
      <w:r>
        <w:rPr>
          <w:rFonts w:ascii="Times New Roman" w:hAnsi="Times New Roman" w:cs="Times New Roman"/>
          <w:szCs w:val="21"/>
        </w:rPr>
        <w:t xml:space="preserve">method of law </w:t>
      </w:r>
      <w:r>
        <w:rPr>
          <w:rFonts w:hint="eastAsia" w:ascii="Times New Roman" w:hAnsi="Times New Roman" w:cs="Times New Roman"/>
          <w:szCs w:val="21"/>
        </w:rPr>
        <w:t>te</w:t>
      </w:r>
      <w:r>
        <w:rPr>
          <w:rFonts w:ascii="Times New Roman" w:hAnsi="Times New Roman" w:cs="Times New Roman"/>
          <w:szCs w:val="21"/>
        </w:rPr>
        <w:t xml:space="preserve">aching is gradually changing. The traditional case teaching focuses on training </w:t>
      </w:r>
      <w:r>
        <w:rPr>
          <w:rFonts w:hint="eastAsia" w:ascii="Times New Roman" w:hAnsi="Times New Roman" w:cs="Times New Roman"/>
          <w:szCs w:val="21"/>
        </w:rPr>
        <w:t>students</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reasoning ability and debating skills based on the legal profession</w:t>
      </w:r>
      <w:r>
        <w:rPr>
          <w:rFonts w:hint="eastAsia" w:ascii="Times New Roman" w:hAnsi="Times New Roman" w:cs="Times New Roman"/>
          <w:szCs w:val="21"/>
        </w:rPr>
        <w:t>s like</w:t>
      </w:r>
      <w:r>
        <w:rPr>
          <w:rFonts w:ascii="Times New Roman" w:hAnsi="Times New Roman" w:cs="Times New Roman"/>
          <w:szCs w:val="21"/>
        </w:rPr>
        <w:t xml:space="preserve"> lawyers, judges</w:t>
      </w:r>
      <w:r>
        <w:rPr>
          <w:rFonts w:hint="eastAsia" w:ascii="Times New Roman" w:hAnsi="Times New Roman" w:cs="Times New Roman"/>
          <w:szCs w:val="21"/>
        </w:rPr>
        <w:t>,</w:t>
      </w:r>
      <w:r>
        <w:rPr>
          <w:rFonts w:ascii="Times New Roman" w:hAnsi="Times New Roman" w:cs="Times New Roman"/>
          <w:szCs w:val="21"/>
        </w:rPr>
        <w:t xml:space="preserve"> and prosecutors. With the deepening of urbanization, social conflicts are increasing rapidly. The traditional case teaching has gradually failed to meet the needs of social dispute resolution. As an important component in urban governance, community governance has become an important carrier for resolving conflicts and disputes. The existing community legal services cannot meet the needs of the community residents. </w:t>
      </w:r>
      <w:r>
        <w:rPr>
          <w:rFonts w:hint="eastAsia" w:ascii="Times New Roman" w:hAnsi="Times New Roman" w:cs="Times New Roman"/>
          <w:szCs w:val="21"/>
        </w:rPr>
        <w:t>Facing the needs of community conflict resolution and legal service, law teaching adapts to the changes of talent demand and makes new attempts in case teaching to meet the needs of legal service talents in the context of urbanization and the new requirements for talent development in the industry.</w:t>
      </w:r>
      <w:r>
        <w:rPr>
          <w:rFonts w:ascii="Times New Roman" w:hAnsi="Times New Roman" w:cs="Times New Roman"/>
          <w:szCs w:val="21"/>
        </w:rPr>
        <w:t xml:space="preserve"> </w:t>
      </w:r>
    </w:p>
    <w:p>
      <w:pPr>
        <w:spacing w:line="380" w:lineRule="atLeast"/>
        <w:rPr>
          <w:rFonts w:ascii="Times New Roman" w:hAnsi="Times New Roman" w:cs="Times New Roman"/>
        </w:rPr>
      </w:pPr>
      <w:r>
        <w:rPr>
          <w:rFonts w:ascii="Times New Roman" w:hAnsi="Times New Roman" w:cs="Times New Roman"/>
          <w:b/>
          <w:szCs w:val="21"/>
        </w:rPr>
        <w:t xml:space="preserve">Key words: </w:t>
      </w:r>
      <w:r>
        <w:rPr>
          <w:rFonts w:ascii="Times New Roman" w:hAnsi="Times New Roman" w:cs="Times New Roman"/>
          <w:szCs w:val="21"/>
        </w:rPr>
        <w:t>community; dispute</w:t>
      </w:r>
      <w:r>
        <w:rPr>
          <w:rFonts w:hint="eastAsia" w:ascii="Times New Roman" w:hAnsi="Times New Roman" w:cs="Times New Roman"/>
          <w:szCs w:val="21"/>
        </w:rPr>
        <w:t xml:space="preserve"> resolution</w:t>
      </w:r>
      <w:r>
        <w:rPr>
          <w:rFonts w:ascii="Times New Roman" w:hAnsi="Times New Roman" w:cs="Times New Roman"/>
          <w:szCs w:val="21"/>
        </w:rPr>
        <w:t>; case teaching</w:t>
      </w:r>
    </w:p>
    <w:p>
      <w:pPr>
        <w:ind w:firstLine="420" w:firstLineChars="200"/>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（责任编辑：侯净雯</w:t>
      </w:r>
      <w:bookmarkStart w:id="0" w:name="_GoBack"/>
      <w:bookmarkEnd w:id="0"/>
      <w:r>
        <w:rPr>
          <w:rFonts w:hint="eastAsia" w:ascii="Times New Roman" w:hAnsi="Times New Roman" w:cs="Times New Roman"/>
          <w:lang w:eastAsia="zh-CN"/>
        </w:rPr>
        <w:t>）</w:t>
      </w:r>
    </w:p>
    <w:sectPr>
      <w:endnotePr>
        <w:numFmt w:val="decimalEnclosedCircleChinese"/>
      </w:endnote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ascii="宋体" w:hAnsi="宋体" w:eastAsia="宋体" w:cs="Tahoma"/>
          <w:color w:val="000000"/>
          <w:kern w:val="0"/>
        </w:rPr>
      </w:pPr>
      <w:r>
        <w:rPr>
          <w:rStyle w:val="10"/>
        </w:rPr>
        <w:footnoteRef/>
      </w:r>
      <w:r>
        <w:t xml:space="preserve"> </w:t>
      </w:r>
      <w:r>
        <w:rPr>
          <w:rStyle w:val="10"/>
        </w:rPr>
        <w:sym w:font="Symbol" w:char="F020"/>
      </w:r>
      <w:r>
        <w:rPr>
          <w:rFonts w:hint="eastAsia" w:ascii="宋体" w:hAnsi="宋体" w:eastAsia="宋体" w:cs="Tahoma"/>
          <w:color w:val="000000"/>
          <w:kern w:val="0"/>
        </w:rPr>
        <w:t>收稿日期：</w:t>
      </w:r>
      <w:r>
        <w:rPr>
          <w:rFonts w:hint="eastAsia" w:ascii="Times New Roman" w:hAnsi="Times New Roman" w:eastAsia="宋体" w:cs="Times New Roman"/>
          <w:color w:val="000000"/>
          <w:kern w:val="0"/>
        </w:rPr>
        <w:t>2018</w:t>
      </w:r>
      <w:r>
        <w:rPr>
          <w:rFonts w:hint="eastAsia" w:ascii="宋体" w:hAnsi="宋体" w:eastAsia="宋体" w:cs="Tahoma"/>
          <w:color w:val="000000"/>
          <w:kern w:val="0"/>
        </w:rPr>
        <w:t>年</w:t>
      </w:r>
      <w:r>
        <w:rPr>
          <w:rFonts w:hint="eastAsia" w:ascii="Times New Roman" w:hAnsi="Times New Roman" w:eastAsia="宋体" w:cs="Times New Roman"/>
          <w:color w:val="000000"/>
          <w:kern w:val="0"/>
        </w:rPr>
        <w:t>06</w:t>
      </w:r>
      <w:r>
        <w:rPr>
          <w:rFonts w:hint="eastAsia" w:ascii="宋体" w:hAnsi="宋体" w:eastAsia="宋体" w:cs="Tahoma"/>
          <w:color w:val="000000"/>
          <w:kern w:val="0"/>
        </w:rPr>
        <w:t>月</w:t>
      </w:r>
      <w:r>
        <w:rPr>
          <w:rFonts w:hint="eastAsia" w:ascii="Times New Roman" w:hAnsi="Times New Roman" w:eastAsia="宋体" w:cs="Times New Roman"/>
          <w:color w:val="000000"/>
          <w:kern w:val="0"/>
        </w:rPr>
        <w:t>26</w:t>
      </w:r>
      <w:r>
        <w:rPr>
          <w:rFonts w:hint="eastAsia" w:ascii="宋体" w:hAnsi="宋体" w:eastAsia="宋体" w:cs="Tahoma"/>
          <w:color w:val="000000"/>
          <w:kern w:val="0"/>
        </w:rPr>
        <w:t>日</w:t>
      </w:r>
    </w:p>
    <w:p>
      <w:pPr>
        <w:pStyle w:val="6"/>
      </w:pPr>
      <w:r>
        <w:rPr>
          <w:rFonts w:hint="eastAsia" w:ascii="宋体" w:hAnsi="宋体" w:eastAsia="宋体" w:cs="Tahoma"/>
          <w:color w:val="000000"/>
          <w:kern w:val="0"/>
        </w:rPr>
        <w:t>作者简介：何倩（1981-），女，江西</w:t>
      </w:r>
      <w:r>
        <w:rPr>
          <w:rFonts w:hint="eastAsia" w:ascii="宋体" w:hAnsi="宋体" w:eastAsia="宋体" w:cs="Tahoma"/>
          <w:color w:val="000000"/>
          <w:kern w:val="0"/>
          <w:lang w:eastAsia="zh-CN"/>
        </w:rPr>
        <w:t>人</w:t>
      </w:r>
      <w:r>
        <w:rPr>
          <w:rFonts w:hint="eastAsia" w:ascii="宋体" w:hAnsi="宋体" w:eastAsia="宋体" w:cs="Tahoma"/>
          <w:color w:val="000000"/>
          <w:kern w:val="0"/>
        </w:rPr>
        <w:t>，副教授，博士，研究方向：行政法学。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EnclosedCircleChinese"/>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348"/>
    <w:rsid w:val="00010D4B"/>
    <w:rsid w:val="00076BBA"/>
    <w:rsid w:val="00076EB1"/>
    <w:rsid w:val="0009337A"/>
    <w:rsid w:val="000C06B8"/>
    <w:rsid w:val="001070E0"/>
    <w:rsid w:val="001113AF"/>
    <w:rsid w:val="00114730"/>
    <w:rsid w:val="00195C1D"/>
    <w:rsid w:val="001D3158"/>
    <w:rsid w:val="002016B8"/>
    <w:rsid w:val="00207751"/>
    <w:rsid w:val="00211768"/>
    <w:rsid w:val="002B25B2"/>
    <w:rsid w:val="002E017D"/>
    <w:rsid w:val="002E583B"/>
    <w:rsid w:val="002E611C"/>
    <w:rsid w:val="002F06C8"/>
    <w:rsid w:val="002F0825"/>
    <w:rsid w:val="00307183"/>
    <w:rsid w:val="00322C15"/>
    <w:rsid w:val="003241B7"/>
    <w:rsid w:val="00331488"/>
    <w:rsid w:val="00337348"/>
    <w:rsid w:val="003B2AD6"/>
    <w:rsid w:val="004709AD"/>
    <w:rsid w:val="004A5A35"/>
    <w:rsid w:val="004F0547"/>
    <w:rsid w:val="00521B5F"/>
    <w:rsid w:val="005266DD"/>
    <w:rsid w:val="005C0BD9"/>
    <w:rsid w:val="0060211E"/>
    <w:rsid w:val="0061336D"/>
    <w:rsid w:val="00685724"/>
    <w:rsid w:val="006871DB"/>
    <w:rsid w:val="00692F69"/>
    <w:rsid w:val="00711441"/>
    <w:rsid w:val="007250C5"/>
    <w:rsid w:val="007C7607"/>
    <w:rsid w:val="007E58E8"/>
    <w:rsid w:val="008639BF"/>
    <w:rsid w:val="0087000A"/>
    <w:rsid w:val="008749B5"/>
    <w:rsid w:val="008D7864"/>
    <w:rsid w:val="009708B8"/>
    <w:rsid w:val="009D14A1"/>
    <w:rsid w:val="009F330E"/>
    <w:rsid w:val="00A138BD"/>
    <w:rsid w:val="00A20291"/>
    <w:rsid w:val="00A53634"/>
    <w:rsid w:val="00AB2E21"/>
    <w:rsid w:val="00AF181C"/>
    <w:rsid w:val="00B20CC7"/>
    <w:rsid w:val="00B2733F"/>
    <w:rsid w:val="00B53D95"/>
    <w:rsid w:val="00BE5032"/>
    <w:rsid w:val="00C011F6"/>
    <w:rsid w:val="00CA48EF"/>
    <w:rsid w:val="00CA5A9A"/>
    <w:rsid w:val="00CB31D5"/>
    <w:rsid w:val="00CC4622"/>
    <w:rsid w:val="00CE462C"/>
    <w:rsid w:val="00CF4010"/>
    <w:rsid w:val="00D301EB"/>
    <w:rsid w:val="00D43890"/>
    <w:rsid w:val="00D60FF0"/>
    <w:rsid w:val="00E440D9"/>
    <w:rsid w:val="00E70F4B"/>
    <w:rsid w:val="00ED41A4"/>
    <w:rsid w:val="00F4137A"/>
    <w:rsid w:val="00F6753F"/>
    <w:rsid w:val="00FB0EF3"/>
    <w:rsid w:val="00FE49D1"/>
    <w:rsid w:val="00FE77D3"/>
    <w:rsid w:val="065A3A97"/>
    <w:rsid w:val="1D0F57B2"/>
    <w:rsid w:val="28CB1EC9"/>
    <w:rsid w:val="2B5E5870"/>
    <w:rsid w:val="3D496FBC"/>
    <w:rsid w:val="788A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endnote text"/>
    <w:basedOn w:val="1"/>
    <w:link w:val="16"/>
    <w:semiHidden/>
    <w:unhideWhenUsed/>
    <w:qFormat/>
    <w:uiPriority w:val="99"/>
    <w:pPr>
      <w:snapToGrid w:val="0"/>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nhideWhenUsed/>
    <w:qFormat/>
    <w:uiPriority w:val="99"/>
    <w:pPr>
      <w:snapToGrid w:val="0"/>
      <w:jc w:val="left"/>
    </w:pPr>
    <w:rPr>
      <w:sz w:val="18"/>
      <w:szCs w:val="18"/>
    </w:rPr>
  </w:style>
  <w:style w:type="character" w:styleId="8">
    <w:name w:val="endnote reference"/>
    <w:basedOn w:val="7"/>
    <w:semiHidden/>
    <w:unhideWhenUsed/>
    <w:qFormat/>
    <w:uiPriority w:val="99"/>
    <w:rPr>
      <w:vertAlign w:val="superscript"/>
    </w:rPr>
  </w:style>
  <w:style w:type="character" w:styleId="9">
    <w:name w:val="Hyperlink"/>
    <w:basedOn w:val="7"/>
    <w:unhideWhenUsed/>
    <w:qFormat/>
    <w:uiPriority w:val="99"/>
    <w:rPr>
      <w:color w:val="0000FF" w:themeColor="hyperlink"/>
      <w:u w:val="single"/>
    </w:rPr>
  </w:style>
  <w:style w:type="character" w:styleId="10">
    <w:name w:val="footnote reference"/>
    <w:basedOn w:val="7"/>
    <w:semiHidden/>
    <w:unhideWhenUsed/>
    <w:qFormat/>
    <w:uiPriority w:val="99"/>
    <w:rPr>
      <w:vertAlign w:val="superscript"/>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批注框文本 Char"/>
    <w:basedOn w:val="7"/>
    <w:link w:val="3"/>
    <w:semiHidden/>
    <w:qFormat/>
    <w:uiPriority w:val="99"/>
    <w:rPr>
      <w:sz w:val="18"/>
      <w:szCs w:val="18"/>
    </w:rPr>
  </w:style>
  <w:style w:type="character" w:customStyle="1" w:styleId="15">
    <w:name w:val="脚注文本 Char"/>
    <w:basedOn w:val="7"/>
    <w:link w:val="6"/>
    <w:semiHidden/>
    <w:qFormat/>
    <w:uiPriority w:val="99"/>
    <w:rPr>
      <w:sz w:val="18"/>
      <w:szCs w:val="18"/>
    </w:rPr>
  </w:style>
  <w:style w:type="character" w:customStyle="1" w:styleId="16">
    <w:name w:val="尾注文本 Char"/>
    <w:basedOn w:val="7"/>
    <w:link w:val="2"/>
    <w:semiHidden/>
    <w:qFormat/>
    <w:uiPriority w:val="99"/>
  </w:style>
  <w:style w:type="paragraph" w:styleId="17">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settings" Target="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customXml" Target="../customXml/item1.xml"/>
  <Relationship Id="rId27" Type="http://schemas.openxmlformats.org/officeDocument/2006/relationships/customXml" Target="../customXml/item2.xml"/>
  <Relationship Id="rId28"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hart" Target="charts/chart1.xml"/>
  <Relationship Id="rId6" Type="http://schemas.openxmlformats.org/officeDocument/2006/relationships/chart" Target="charts/chart2.xml"/>
  <Relationship Id="rId7" Type="http://schemas.openxmlformats.org/officeDocument/2006/relationships/chart" Target="charts/chart3.xml"/>
  <Relationship Id="rId8" Type="http://schemas.openxmlformats.org/officeDocument/2006/relationships/image" Target="media/image1.png"/>
  <Relationship Id="rId9" Type="http://schemas.openxmlformats.org/officeDocument/2006/relationships/image" Target="media/image2.png"/>
</Relationships>

</file>

<file path=word/charts/_rels/chart1.xml.rels><?xml version="1.0" encoding="UTF-8"?>

<Relationships xmlns="http://schemas.openxmlformats.org/package/2006/relationships">
  <Relationship Id="rId1" Type="http://schemas.openxmlformats.org/officeDocument/2006/relationships/package" Target="../embeddings/Workbook3.xlsx"/>
</Relationships>

</file>

<file path=word/charts/_rels/chart2.xml.rels><?xml version="1.0" encoding="UTF-8"?>

<Relationships xmlns="http://schemas.openxmlformats.org/package/2006/relationships">
  <Relationship Id="rId1" Type="http://schemas.openxmlformats.org/officeDocument/2006/relationships/package" Target="../embeddings/Workbook2.xlsx"/>
</Relationships>

</file>

<file path=word/charts/_rels/chart3.xml.rels><?xml version="1.0" encoding="UTF-8"?>

<Relationships xmlns="http://schemas.openxmlformats.org/package/2006/relationships">
  <Relationship Id="rId1" Type="http://schemas.openxmlformats.org/officeDocument/2006/relationships/package" Target="../embeddings/Workbook1.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所在社区提供法律服务形式</c:v>
                </c:pt>
              </c:strCache>
            </c:strRef>
          </c:tx>
          <c:explosion val="0"/>
          <c:dPt>
            <c:idx val="0"/>
            <c:bubble3D val="0"/>
          </c:dPt>
          <c:dPt>
            <c:idx val="1"/>
            <c:bubble3D val="0"/>
          </c:dPt>
          <c:dPt>
            <c:idx val="2"/>
            <c:bubble3D val="0"/>
          </c:dPt>
          <c:dPt>
            <c:idx val="3"/>
            <c:bubble3D val="0"/>
          </c:dPt>
          <c:dLbls>
            <c:delete val="1"/>
          </c:dLbls>
          <c:cat>
            <c:strRef>
              <c:f>Sheet1!$A$2:$A$5</c:f>
              <c:strCache>
                <c:ptCount val="4"/>
                <c:pt idx="0">
                  <c:v>普法宣传、讲座或培训</c:v>
                </c:pt>
                <c:pt idx="1">
                  <c:v>社区调解</c:v>
                </c:pt>
                <c:pt idx="2">
                  <c:v>社区提供的法律援助</c:v>
                </c:pt>
                <c:pt idx="3">
                  <c:v>其他</c:v>
                </c:pt>
              </c:strCache>
            </c:strRef>
          </c:cat>
          <c:val>
            <c:numRef>
              <c:f>Sheet1!$B$2:$B$5</c:f>
              <c:numCache>
                <c:formatCode>General</c:formatCode>
                <c:ptCount val="4"/>
                <c:pt idx="0">
                  <c:v>84.77</c:v>
                </c:pt>
                <c:pt idx="1">
                  <c:v>59.6</c:v>
                </c:pt>
                <c:pt idx="2">
                  <c:v>27.81</c:v>
                </c:pt>
                <c:pt idx="3">
                  <c:v>5.3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何种途径的法律服务解决问题最有效率</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律师专业服务</c:v>
                </c:pt>
                <c:pt idx="1">
                  <c:v>申请政府法律援助</c:v>
                </c:pt>
                <c:pt idx="2">
                  <c:v>通过咨询和学习法律知识，自己解决问题或纠纷</c:v>
                </c:pt>
                <c:pt idx="3">
                  <c:v>社区、居委会的帮助</c:v>
                </c:pt>
                <c:pt idx="4">
                  <c:v>其他</c:v>
                </c:pt>
              </c:strCache>
            </c:strRef>
          </c:cat>
          <c:val>
            <c:numRef>
              <c:f>Sheet1!$B$2:$B$6</c:f>
              <c:numCache>
                <c:formatCode>General</c:formatCode>
                <c:ptCount val="5"/>
                <c:pt idx="0">
                  <c:v>32.56</c:v>
                </c:pt>
                <c:pt idx="1">
                  <c:v>30.23</c:v>
                </c:pt>
                <c:pt idx="2">
                  <c:v>20.93</c:v>
                </c:pt>
                <c:pt idx="3">
                  <c:v>13.95</c:v>
                </c:pt>
                <c:pt idx="4">
                  <c:v>2.33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现有的社区法律服务的现状能否满足居民需要</c:v>
                </c:pt>
              </c:strCache>
            </c:strRef>
          </c:tx>
          <c:explosion val="0"/>
          <c:dPt>
            <c:idx val="0"/>
            <c:bubble3D val="0"/>
          </c:dPt>
          <c:dPt>
            <c:idx val="1"/>
            <c:bubble3D val="0"/>
          </c:dPt>
          <c:dLbls>
            <c:delete val="1"/>
          </c:dLbls>
          <c:cat>
            <c:strRef>
              <c:f>Sheet1!$A$2:$A$3</c:f>
              <c:strCache>
                <c:ptCount val="2"/>
                <c:pt idx="0">
                  <c:v>不能</c:v>
                </c:pt>
                <c:pt idx="1">
                  <c:v>能</c:v>
                </c:pt>
              </c:strCache>
            </c:strRef>
          </c:cat>
          <c:val>
            <c:numRef>
              <c:f>Sheet1!$B$2:$B$3</c:f>
              <c:numCache>
                <c:formatCode>General</c:formatCode>
                <c:ptCount val="2"/>
                <c:pt idx="0">
                  <c:v>65.98</c:v>
                </c:pt>
                <c:pt idx="1">
                  <c:v>34.02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F8E29-9B34-4ABA-B3AB-F8DD07E280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1389</Words>
  <Characters>7919</Characters>
  <Lines>65</Lines>
  <Paragraphs>18</Paragraphs>
  <TotalTime>13</TotalTime>
  <ScaleCrop>false</ScaleCrop>
  <LinksUpToDate>false</LinksUpToDate>
  <CharactersWithSpaces>9290</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2018-06-19T08:37:00Z</dcterms:created>
  <dc:creator>csxy</dc:creator>
  <lastModifiedBy>HC</lastModifiedBy>
  <dcterms:modified xsi:type="dcterms:W3CDTF">2018-09-29T05:23:41Z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