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jc w:val="center"/>
        <w:rPr>
          <w:rFonts w:ascii="黑体" w:hAnsi="黑体" w:eastAsia="黑体" w:cs="黑体"/>
          <w:bCs/>
          <w:sz w:val="32"/>
          <w:szCs w:val="32"/>
        </w:rPr>
      </w:pPr>
      <w:r>
        <w:rPr>
          <w:rFonts w:hint="eastAsia" w:ascii="黑体" w:hAnsi="黑体" w:eastAsia="黑体" w:cs="黑体"/>
          <w:bCs/>
          <w:sz w:val="32"/>
          <w:szCs w:val="32"/>
          <w:lang w:val="zh-TW" w:eastAsia="zh-TW"/>
        </w:rPr>
        <w:t>后现代主义视阈下社会工作实习督导老师的角色研究</w:t>
      </w:r>
      <w:r>
        <w:rPr>
          <w:rStyle w:val="16"/>
          <w:rFonts w:hint="eastAsia" w:ascii="黑体" w:hAnsi="黑体" w:eastAsia="黑体" w:cs="黑体"/>
          <w:bCs/>
          <w:sz w:val="32"/>
          <w:szCs w:val="32"/>
          <w:lang w:val="zh-TW" w:eastAsia="zh-TW"/>
        </w:rPr>
        <w:footnoteReference w:id="0"/>
      </w:r>
    </w:p>
    <w:p>
      <w:pPr>
        <w:pStyle w:val="20"/>
        <w:ind w:firstLine="560"/>
        <w:jc w:val="center"/>
        <w:rPr>
          <w:rFonts w:ascii="宋体" w:hAnsi="宋体" w:cs="宋体"/>
          <w:b w:val="0"/>
          <w:sz w:val="28"/>
          <w:szCs w:val="28"/>
          <w:lang w:val="zh-TW" w:eastAsia="zh-TW"/>
        </w:rPr>
      </w:pPr>
      <w:r>
        <w:rPr>
          <w:rFonts w:hint="eastAsia" w:ascii="宋体" w:hAnsi="宋体" w:cs="宋体"/>
          <w:b w:val="0"/>
          <w:sz w:val="28"/>
          <w:szCs w:val="28"/>
          <w:lang w:val="zh-TW" w:eastAsia="zh-TW"/>
        </w:rPr>
        <w:t>——从被督导者的角度</w:t>
      </w:r>
    </w:p>
    <w:p>
      <w:pPr>
        <w:pStyle w:val="20"/>
        <w:ind w:firstLine="560"/>
        <w:jc w:val="center"/>
        <w:rPr>
          <w:rFonts w:ascii="宋体" w:hAnsi="宋体" w:cs="宋体"/>
          <w:b w:val="0"/>
          <w:sz w:val="28"/>
          <w:szCs w:val="28"/>
          <w:lang w:val="zh-TW" w:eastAsia="zh-TW"/>
        </w:rPr>
      </w:pPr>
    </w:p>
    <w:p>
      <w:pPr>
        <w:pStyle w:val="20"/>
        <w:ind w:firstLine="420"/>
        <w:jc w:val="center"/>
        <w:rPr>
          <w:rFonts w:hint="eastAsia" w:ascii="标楷" w:hAnsi="标楷" w:cs="标楷"/>
          <w:b w:val="0"/>
          <w:bCs/>
          <w:sz w:val="21"/>
          <w:szCs w:val="21"/>
          <w:lang w:val="zh-TW"/>
        </w:rPr>
      </w:pPr>
      <w:r>
        <w:rPr>
          <w:rFonts w:hint="eastAsia" w:ascii="标楷" w:hAnsi="标楷" w:cs="标楷"/>
          <w:b w:val="0"/>
          <w:bCs/>
          <w:sz w:val="21"/>
          <w:szCs w:val="21"/>
          <w:lang w:val="zh-TW"/>
        </w:rPr>
        <w:t>陈茂，林霞</w:t>
      </w:r>
    </w:p>
    <w:p>
      <w:pPr>
        <w:pStyle w:val="20"/>
        <w:ind w:firstLine="420"/>
        <w:jc w:val="center"/>
        <w:rPr>
          <w:rFonts w:ascii="宋体" w:hAnsi="宋体" w:cs="宋体"/>
          <w:b w:val="0"/>
          <w:bCs/>
          <w:sz w:val="21"/>
          <w:szCs w:val="21"/>
          <w:lang w:val="zh-TW" w:eastAsia="zh-TW"/>
        </w:rPr>
      </w:pPr>
      <w:r>
        <w:rPr>
          <w:rFonts w:hint="eastAsia" w:ascii="宋体" w:hAnsi="宋体" w:cs="宋体"/>
          <w:b w:val="0"/>
          <w:bCs/>
          <w:sz w:val="21"/>
          <w:szCs w:val="21"/>
          <w:lang w:val="zh-TW"/>
        </w:rPr>
        <w:t>（北京城市学院，北京，</w:t>
      </w:r>
      <w:r>
        <w:rPr>
          <w:rFonts w:hint="eastAsia" w:ascii="宋体" w:hAnsi="宋体" w:cs="宋体"/>
          <w:b w:val="0"/>
          <w:bCs/>
          <w:sz w:val="21"/>
          <w:szCs w:val="21"/>
        </w:rPr>
        <w:t>100094</w:t>
      </w:r>
      <w:r>
        <w:rPr>
          <w:rFonts w:hint="eastAsia" w:ascii="宋体" w:hAnsi="宋体" w:cs="宋体"/>
          <w:b w:val="0"/>
          <w:bCs/>
          <w:sz w:val="21"/>
          <w:szCs w:val="21"/>
          <w:lang w:val="zh-TW"/>
        </w:rPr>
        <w:t>）</w:t>
      </w:r>
    </w:p>
    <w:p>
      <w:pPr>
        <w:pStyle w:val="21"/>
        <w:ind w:firstLine="422"/>
        <w:rPr>
          <w:rFonts w:hint="default"/>
          <w:bCs/>
        </w:rPr>
      </w:pPr>
      <w:r>
        <w:rPr>
          <w:rFonts w:ascii="宋体" w:hAnsi="宋体" w:cs="宋体"/>
          <w:b/>
        </w:rPr>
        <w:t>摘  要：</w:t>
      </w:r>
      <w:r>
        <w:rPr>
          <w:rFonts w:ascii="宋体" w:hAnsi="宋体" w:cs="宋体"/>
          <w:bCs/>
        </w:rPr>
        <w:t>由于各种历史及现实条件的制约，社会工作专业实习督导工作的发展一直较为滞后。本研究以后现代主义理论</w:t>
      </w:r>
      <w:r>
        <w:rPr>
          <w:rFonts w:ascii="宋体" w:hAnsi="宋体" w:cs="宋体"/>
          <w:bCs/>
          <w:lang w:eastAsia="zh-CN"/>
        </w:rPr>
        <w:t>作为分析工具</w:t>
      </w:r>
      <w:r>
        <w:rPr>
          <w:rFonts w:ascii="宋体" w:hAnsi="宋体" w:cs="宋体"/>
          <w:bCs/>
        </w:rPr>
        <w:t>，以B大学2017级社会工作硕士专业学位的实习督导工作为研究对象，运用随机抽样的方法选取被督导者，对其进行深度访谈。从被督导者的角度出发，对实习督导过程中“</w:t>
      </w:r>
      <w:r>
        <w:rPr>
          <w:rFonts w:ascii="宋体" w:hAnsi="宋体" w:cs="宋体"/>
          <w:bCs/>
          <w:lang w:eastAsia="zh-CN"/>
        </w:rPr>
        <w:t>督导者——被督导者”之间关系的文本进行双</w:t>
      </w:r>
      <w:r>
        <w:rPr>
          <w:rFonts w:ascii="宋体" w:hAnsi="宋体" w:cs="宋体"/>
          <w:bCs/>
        </w:rPr>
        <w:t>重解读，理解“督导者</w:t>
      </w:r>
      <w:r>
        <w:rPr>
          <w:rFonts w:ascii="宋体" w:hAnsi="宋体" w:cs="宋体"/>
          <w:bCs/>
          <w:lang w:eastAsia="zh-CN"/>
        </w:rPr>
        <w:t>—</w:t>
      </w:r>
      <w:r>
        <w:rPr>
          <w:rFonts w:ascii="宋体" w:hAnsi="宋体" w:cs="宋体"/>
          <w:bCs/>
        </w:rPr>
        <w:t>被督导者”之间的关系。研究发现，在实习督导关系中因知识不对等而萌生权力关系问题；因权力不平等而形成“中心—边缘”的模式问题。笔者以后现代主义理论为指导，提出实习督导老师应承担和扮演好适度距离的引导者、步调和谐的同行者、积极平等的</w:t>
      </w:r>
      <w:r>
        <w:rPr>
          <w:rFonts w:ascii="宋体" w:hAnsi="宋体" w:cs="宋体"/>
          <w:bCs/>
          <w:lang w:val="zh-CN" w:eastAsia="zh-CN"/>
        </w:rPr>
        <w:t>对话者</w:t>
      </w:r>
      <w:r>
        <w:rPr>
          <w:rFonts w:ascii="宋体" w:hAnsi="宋体" w:cs="宋体"/>
          <w:bCs/>
        </w:rPr>
        <w:t>和公正包容的评估者等角色</w:t>
      </w:r>
      <w:r>
        <w:rPr>
          <w:bCs/>
        </w:rPr>
        <w:t>。</w:t>
      </w:r>
    </w:p>
    <w:p>
      <w:pPr>
        <w:pStyle w:val="21"/>
        <w:ind w:firstLine="422"/>
        <w:rPr>
          <w:rFonts w:hint="default"/>
          <w:bCs/>
          <w:lang w:val="zh-CN"/>
        </w:rPr>
      </w:pPr>
      <w:r>
        <w:rPr>
          <w:b/>
        </w:rPr>
        <w:t>关键词：</w:t>
      </w:r>
      <w:r>
        <w:rPr>
          <w:bCs/>
        </w:rPr>
        <w:t>后现代主义；</w:t>
      </w:r>
      <w:r>
        <w:rPr>
          <w:bCs/>
          <w:lang w:val="zh-CN"/>
        </w:rPr>
        <w:t>督导者</w:t>
      </w:r>
      <w:r>
        <w:rPr>
          <w:bCs/>
        </w:rPr>
        <w:t>；</w:t>
      </w:r>
      <w:r>
        <w:rPr>
          <w:bCs/>
          <w:lang w:val="zh-CN"/>
        </w:rPr>
        <w:t>被督导者；</w:t>
      </w:r>
      <w:r>
        <w:rPr>
          <w:bCs/>
        </w:rPr>
        <w:t>社会工作</w:t>
      </w:r>
      <w:r>
        <w:rPr>
          <w:bCs/>
          <w:lang w:val="zh-CN"/>
        </w:rPr>
        <w:t>专业实习</w:t>
      </w:r>
    </w:p>
    <w:p>
      <w:pPr>
        <w:pStyle w:val="21"/>
        <w:ind w:firstLine="422"/>
        <w:rPr>
          <w:rFonts w:hint="default"/>
          <w:b/>
        </w:rPr>
      </w:pPr>
      <w:r>
        <w:rPr>
          <w:b/>
          <w:lang w:val="zh-CN"/>
        </w:rPr>
        <w:t>中图分类号：</w:t>
      </w:r>
      <w:r>
        <w:rPr>
          <w:bCs/>
          <w:lang w:val="en-US" w:eastAsia="zh-CN"/>
        </w:rPr>
        <w:t xml:space="preserve">C916       </w:t>
      </w:r>
      <w:r>
        <w:rPr>
          <w:b/>
          <w:lang w:val="zh-CN"/>
        </w:rPr>
        <w:t>文献标识码：</w:t>
      </w:r>
      <w:r>
        <w:rPr>
          <w:bCs/>
          <w:lang w:val="en-US" w:eastAsia="zh-CN"/>
        </w:rPr>
        <w:t xml:space="preserve">B           </w:t>
      </w:r>
      <w:r>
        <w:rPr>
          <w:b/>
          <w:lang w:val="en-US" w:eastAsia="zh-CN"/>
        </w:rPr>
        <w:t xml:space="preserve"> </w:t>
      </w:r>
      <w:r>
        <w:rPr>
          <w:b/>
          <w:lang w:val="zh-CN"/>
        </w:rPr>
        <w:t>文章编号：</w:t>
      </w:r>
    </w:p>
    <w:p>
      <w:pPr>
        <w:pStyle w:val="20"/>
        <w:ind w:firstLine="482"/>
        <w:rPr>
          <w:lang w:val="zh-TW" w:eastAsia="zh-TW"/>
        </w:rPr>
      </w:pPr>
    </w:p>
    <w:p>
      <w:pPr>
        <w:pStyle w:val="20"/>
        <w:ind w:firstLine="482"/>
        <w:rPr>
          <w:lang w:val="zh-TW" w:eastAsia="zh-TW"/>
        </w:rPr>
      </w:pPr>
      <w:r>
        <w:rPr>
          <w:rFonts w:hint="eastAsia"/>
          <w:lang w:val="zh-TW" w:eastAsia="zh-TW"/>
        </w:rPr>
        <w:t>一、问题提出</w:t>
      </w:r>
    </w:p>
    <w:p>
      <w:pPr>
        <w:pStyle w:val="21"/>
        <w:ind w:firstLine="420"/>
        <w:rPr>
          <w:rFonts w:hint="default"/>
        </w:rPr>
      </w:pPr>
      <w:r>
        <w:rPr>
          <w:lang w:eastAsia="zh-CN"/>
        </w:rPr>
        <w:t>社会工作专业实习是</w:t>
      </w:r>
      <w:r>
        <w:t>实现社会工作专业教育目标的必经之路，是学校有计划、有督导地组织学生到机构或社区中接受社会工作实务技能训练和价值观培养的过程。督导作为社会工作实习中的重要一环，有效的实习督导将有助于被督导者利用自身的知识和技能，有效率、有效能地投入工作</w:t>
      </w:r>
      <w:r>
        <w:rPr>
          <w:vertAlign w:val="superscript"/>
          <w:lang w:val="en-US" w:eastAsia="zh-CN"/>
        </w:rPr>
        <w:t>[1]</w:t>
      </w:r>
      <w:r>
        <w:t>，也能使被督导者在实习过程中</w:t>
      </w:r>
      <w:r>
        <w:rPr>
          <w:lang w:eastAsia="zh-CN"/>
        </w:rPr>
        <w:t>达到</w:t>
      </w:r>
      <w:r>
        <w:t>知行合一的目标。除此之外，专业实习教育可以培养学生的专业知能、专业自主性、专业自我价值观和专业认同</w:t>
      </w:r>
      <w:r>
        <w:rPr>
          <w:vertAlign w:val="superscript"/>
          <w:lang w:val="en-US" w:eastAsia="zh-CN"/>
        </w:rPr>
        <w:t>[2]</w:t>
      </w:r>
      <w:r>
        <w:rPr>
          <w:lang w:eastAsia="zh-CN"/>
        </w:rPr>
        <w:t>。然而</w:t>
      </w:r>
      <w:r>
        <w:t>由于我国社会工作处于起步阶段，社会工作专业实习一直是其专业教育和发展的薄弱环节，实习督导更是滞后，严重影响</w:t>
      </w:r>
      <w:r>
        <w:rPr>
          <w:lang w:eastAsia="zh-CN"/>
        </w:rPr>
        <w:t>了</w:t>
      </w:r>
      <w:r>
        <w:t>社会工作实习的开展和学生的培养</w:t>
      </w:r>
      <w:r>
        <w:rPr>
          <w:vertAlign w:val="superscript"/>
          <w:lang w:val="en-US" w:eastAsia="zh-CN"/>
        </w:rPr>
        <w:t>[3]</w:t>
      </w:r>
      <w:r>
        <w:t>。</w:t>
      </w:r>
    </w:p>
    <w:p>
      <w:pPr>
        <w:pStyle w:val="21"/>
        <w:ind w:firstLine="420"/>
        <w:rPr>
          <w:rFonts w:hint="default"/>
        </w:rPr>
      </w:pPr>
      <w:r>
        <w:t>研究指出，在专业实习督导过程中，实习督导老师准确定位自己的角色，承担实习督导的功能将有利于其成为有效的社会工作实习督导老师</w:t>
      </w:r>
      <w:r>
        <w:rPr>
          <w:vertAlign w:val="superscript"/>
          <w:lang w:val="en-US" w:eastAsia="zh-CN"/>
        </w:rPr>
        <w:t>[4]</w:t>
      </w:r>
      <w:r>
        <w:t>。但现实却是各高校的社会工作专业实习督导工作在实务操作方面普遍存在“实习督导中师生角色定位不准”的问题</w:t>
      </w:r>
      <w:r>
        <w:rPr>
          <w:vertAlign w:val="superscript"/>
          <w:lang w:val="en-US" w:eastAsia="zh-CN"/>
        </w:rPr>
        <w:t>[5]</w:t>
      </w:r>
      <w:r>
        <w:t>。因此，明确社会工作实习督导老师的角色是实现社会工作专业实习目标的基本前提条件。</w:t>
      </w:r>
    </w:p>
    <w:p>
      <w:pPr>
        <w:pStyle w:val="21"/>
        <w:ind w:firstLine="420"/>
        <w:rPr>
          <w:rFonts w:hint="default"/>
        </w:rPr>
      </w:pPr>
      <w:r>
        <w:t>现有文献对于社会工作专业实习督导角色的研究较少，并且大多数都是从教育者的角度去研究，从被督导者的视角去研究实习督导角色的文献不多。基于此，笔者以B大学2017级社会工作硕士专业学位（下简称MSW）的实习督导工作为研究对象，从被督导者的角度出发，以后现代主义理论为指导，研究社会工作实习督导老师在对被督导者进行实习督导的过程中应扮演的角色及角色发挥作用的途径。</w:t>
      </w:r>
    </w:p>
    <w:p>
      <w:pPr>
        <w:pStyle w:val="20"/>
        <w:numPr>
          <w:ilvl w:val="0"/>
          <w:numId w:val="1"/>
        </w:numPr>
        <w:ind w:firstLine="482"/>
        <w:rPr>
          <w:lang w:eastAsia="en-US"/>
        </w:rPr>
      </w:pPr>
      <w:r>
        <w:rPr>
          <w:rFonts w:hint="eastAsia"/>
          <w:lang w:val="zh-TW" w:eastAsia="zh-TW"/>
        </w:rPr>
        <w:t>文献回顾</w:t>
      </w:r>
    </w:p>
    <w:p>
      <w:pPr>
        <w:pStyle w:val="22"/>
        <w:numPr>
          <w:ilvl w:val="0"/>
          <w:numId w:val="2"/>
        </w:numPr>
        <w:ind w:firstLine="422"/>
        <w:rPr>
          <w:lang w:val="zh-TW" w:eastAsia="zh-TW"/>
        </w:rPr>
      </w:pPr>
      <w:r>
        <w:rPr>
          <w:rFonts w:hint="eastAsia"/>
          <w:lang w:val="zh-TW"/>
        </w:rPr>
        <w:t>后现代主义对现代教育的反思</w:t>
      </w:r>
    </w:p>
    <w:p>
      <w:pPr>
        <w:pStyle w:val="21"/>
        <w:ind w:firstLine="420"/>
        <w:rPr>
          <w:rFonts w:hint="default"/>
        </w:rPr>
      </w:pPr>
      <w:r>
        <w:t>有学者指出，</w:t>
      </w:r>
      <w:r>
        <w:rPr>
          <w:lang w:eastAsia="zh-CN"/>
        </w:rPr>
        <w:t>“</w:t>
      </w:r>
      <w:r>
        <w:rPr>
          <w:lang w:val="ja-JP" w:eastAsia="ja-JP"/>
        </w:rPr>
        <w:t>现代</w:t>
      </w:r>
      <w:r>
        <w:rPr>
          <w:lang w:eastAsia="zh-CN"/>
        </w:rPr>
        <w:t>”</w:t>
      </w:r>
      <w:r>
        <w:rPr>
          <w:lang w:val="ja-JP" w:eastAsia="ja-JP"/>
        </w:rPr>
        <w:t>与</w:t>
      </w:r>
      <w:r>
        <w:rPr>
          <w:lang w:val="ja-JP" w:eastAsia="zh-CN"/>
        </w:rPr>
        <w:t>“</w:t>
      </w:r>
      <w:r>
        <w:rPr>
          <w:lang w:val="ja-JP" w:eastAsia="ja-JP"/>
        </w:rPr>
        <w:t>后现代</w:t>
      </w:r>
      <w:r>
        <w:rPr>
          <w:lang w:val="ja-JP" w:eastAsia="zh-CN"/>
        </w:rPr>
        <w:t>”</w:t>
      </w:r>
      <w:r>
        <w:rPr>
          <w:lang w:val="ja-JP" w:eastAsia="ja-JP"/>
        </w:rPr>
        <w:t>二者兼具历时性与共时性的特点</w:t>
      </w:r>
      <w:r>
        <w:rPr>
          <w:lang w:val="ja-JP" w:eastAsia="zh-CN"/>
        </w:rPr>
        <w:t>，</w:t>
      </w:r>
      <w:r>
        <w:t>这使</w:t>
      </w:r>
      <w:r>
        <w:rPr>
          <w:lang w:val="ja-JP" w:eastAsia="ja-JP"/>
        </w:rPr>
        <w:t>它们被看作是前后继起的两个不同时代</w:t>
      </w:r>
      <w:r>
        <w:rPr>
          <w:lang w:val="ja-JP" w:eastAsia="zh-CN"/>
        </w:rPr>
        <w:t>，</w:t>
      </w:r>
      <w:r>
        <w:t>又</w:t>
      </w:r>
      <w:r>
        <w:rPr>
          <w:lang w:val="ja-JP" w:eastAsia="ja-JP"/>
        </w:rPr>
        <w:t>代表了两种不同的价值观</w:t>
      </w:r>
      <w:r>
        <w:t>、</w:t>
      </w:r>
      <w:r>
        <w:rPr>
          <w:lang w:val="ja-JP" w:eastAsia="ja-JP"/>
        </w:rPr>
        <w:t>文化态度、社会精神</w:t>
      </w:r>
      <w:r>
        <w:t>和</w:t>
      </w:r>
      <w:r>
        <w:rPr>
          <w:lang w:val="ja-JP" w:eastAsia="ja-JP"/>
        </w:rPr>
        <w:t>思维方式</w:t>
      </w:r>
      <w:r>
        <w:rPr>
          <w:vertAlign w:val="superscript"/>
          <w:lang w:val="en-US" w:eastAsia="zh-CN"/>
        </w:rPr>
        <w:t>[6]</w:t>
      </w:r>
      <w:r>
        <w:t>。同样地，二者之间的区别在教育的过程中也尤为明显，这引发了两者思想</w:t>
      </w:r>
      <w:r>
        <w:rPr>
          <w:lang w:eastAsia="zh-CN"/>
        </w:rPr>
        <w:t>上</w:t>
      </w:r>
      <w:r>
        <w:t>的碰撞与争论。</w:t>
      </w:r>
    </w:p>
    <w:p>
      <w:pPr>
        <w:pStyle w:val="21"/>
        <w:ind w:firstLine="420"/>
        <w:rPr>
          <w:rFonts w:hint="default"/>
        </w:rPr>
      </w:pPr>
      <w:r>
        <w:rPr>
          <w:lang w:val="ja-JP" w:eastAsia="ja-JP"/>
        </w:rPr>
        <w:t>现代教育和学校制度教育观念下</w:t>
      </w:r>
      <w:r>
        <w:t>的</w:t>
      </w:r>
      <w:r>
        <w:rPr>
          <w:lang w:val="ja-JP" w:eastAsia="ja-JP"/>
        </w:rPr>
        <w:t>教育</w:t>
      </w:r>
      <w:r>
        <w:t>目标都</w:t>
      </w:r>
      <w:r>
        <w:rPr>
          <w:lang w:val="ja-JP" w:eastAsia="ja-JP"/>
        </w:rPr>
        <w:t>是培养全面发展的人</w:t>
      </w:r>
      <w:r>
        <w:t>，其注重实用性，教育者与</w:t>
      </w:r>
      <w:r>
        <w:rPr>
          <w:lang w:eastAsia="zh-CN"/>
        </w:rPr>
        <w:t>受教育</w:t>
      </w:r>
      <w:r>
        <w:t>者</w:t>
      </w:r>
      <w:r>
        <w:rPr>
          <w:lang w:val="ja-JP" w:eastAsia="ja-JP"/>
        </w:rPr>
        <w:t>之间的交往成为一种表达目的</w:t>
      </w:r>
      <w:r>
        <w:rPr>
          <w:lang w:val="ja-JP" w:eastAsia="zh-CN"/>
        </w:rPr>
        <w:t>的</w:t>
      </w:r>
      <w:r>
        <w:rPr>
          <w:lang w:val="ja-JP" w:eastAsia="ja-JP"/>
        </w:rPr>
        <w:t>手段式关系</w:t>
      </w:r>
      <w:r>
        <w:t>而存在</w:t>
      </w:r>
      <w:r>
        <w:rPr>
          <w:vertAlign w:val="superscript"/>
          <w:lang w:val="en-US" w:eastAsia="zh-CN"/>
        </w:rPr>
        <w:t>[7]</w:t>
      </w:r>
      <w:r>
        <w:t>。教师对学生构成一种支配关系，一方主动，一方被动，形成以老师为中心，以学生为外围行星的</w:t>
      </w:r>
      <w:r>
        <w:rPr>
          <w:lang w:eastAsia="zh-CN"/>
        </w:rPr>
        <w:t>“</w:t>
      </w:r>
      <w:r>
        <w:t>中心—边缘</w:t>
      </w:r>
      <w:r>
        <w:rPr>
          <w:lang w:eastAsia="zh-CN"/>
        </w:rPr>
        <w:t>”模式</w:t>
      </w:r>
      <w:r>
        <w:t>。</w:t>
      </w:r>
      <w:r>
        <w:rPr>
          <w:lang w:eastAsia="zh-CN"/>
        </w:rPr>
        <w:t>而</w:t>
      </w:r>
      <w:r>
        <w:t>这种</w:t>
      </w:r>
      <w:r>
        <w:rPr>
          <w:lang w:val="ja-JP" w:eastAsia="ja-JP"/>
        </w:rPr>
        <w:t>教育者—被教育者的二元关系影响了教育的</w:t>
      </w:r>
      <w:r>
        <w:t>预期效果，</w:t>
      </w:r>
      <w:r>
        <w:rPr>
          <w:lang w:eastAsia="zh-CN"/>
        </w:rPr>
        <w:t>于是出现了</w:t>
      </w:r>
      <w:r>
        <w:t>教师疲于应对，学习者无法找到获能感</w:t>
      </w:r>
      <w:r>
        <w:rPr>
          <w:lang w:eastAsia="zh-CN"/>
        </w:rPr>
        <w:t>的现象</w:t>
      </w:r>
      <w:r>
        <w:t>。因此，后现代主义</w:t>
      </w:r>
      <w:r>
        <w:rPr>
          <w:lang w:eastAsia="zh-CN"/>
        </w:rPr>
        <w:t>理论研究者</w:t>
      </w:r>
      <w:r>
        <w:t>对现代主义的教育观提出了诘难。不少学者从后现代主义的视角出发，对现代性教学模式进行批判</w:t>
      </w:r>
      <w:r>
        <w:rPr>
          <w:lang w:eastAsia="zh-CN"/>
        </w:rPr>
        <w:t>和反思</w:t>
      </w:r>
      <w:r>
        <w:t>。</w:t>
      </w:r>
      <w:r>
        <w:rPr>
          <w:lang w:eastAsia="zh-CN"/>
        </w:rPr>
        <w:t>例如，</w:t>
      </w:r>
      <w:r>
        <w:t>后现代主义知识教学观反对线性、控制、精确、结构化的现代主义知识教学观，主张科学精神与人文精神、工具理性与价值理性、身心发展与人格完善之间的和谐均衡</w:t>
      </w:r>
      <w:r>
        <w:rPr>
          <w:vertAlign w:val="superscript"/>
          <w:lang w:val="en-US" w:eastAsia="zh-CN"/>
        </w:rPr>
        <w:t>[8]</w:t>
      </w:r>
      <w:r>
        <w:rPr>
          <w:lang w:val="zh-CN"/>
        </w:rPr>
        <w:t>。同时</w:t>
      </w:r>
      <w:r>
        <w:t>，后现代主义也对传统的教学进行了批判</w:t>
      </w:r>
      <w:r>
        <w:rPr>
          <w:lang w:eastAsia="zh-CN"/>
        </w:rPr>
        <w:t>和</w:t>
      </w:r>
      <w:r>
        <w:t>反思，</w:t>
      </w:r>
      <w:r>
        <w:rPr>
          <w:lang w:eastAsia="zh-CN"/>
        </w:rPr>
        <w:t>例如，</w:t>
      </w:r>
      <w:r>
        <w:t>传统的教学在本质上是独白式的，即承认并维护教师在知识传授中的权力中心地位，知识就像河流一样从高地流向低地</w:t>
      </w:r>
      <w:r>
        <w:rPr>
          <w:vertAlign w:val="superscript"/>
          <w:lang w:val="en-US" w:eastAsia="zh-CN"/>
        </w:rPr>
        <w:t>[9]</w:t>
      </w:r>
      <w:r>
        <w:t>。</w:t>
      </w:r>
    </w:p>
    <w:p>
      <w:pPr>
        <w:pStyle w:val="21"/>
        <w:ind w:firstLine="420"/>
        <w:rPr>
          <w:rFonts w:hint="default"/>
        </w:rPr>
      </w:pPr>
      <w:r>
        <w:rPr>
          <w:lang w:eastAsia="zh-CN"/>
        </w:rPr>
        <w:t>与现代性教育不同的是，</w:t>
      </w:r>
      <w:r>
        <w:t>后现代主义</w:t>
      </w:r>
      <w:r>
        <w:rPr>
          <w:lang w:val="ja-JP" w:eastAsia="ja-JP"/>
        </w:rPr>
        <w:t>教育观强调教育要具备</w:t>
      </w:r>
      <w:r>
        <w:rPr>
          <w:lang w:val="ja-JP" w:eastAsia="zh-CN"/>
        </w:rPr>
        <w:t>“</w:t>
      </w:r>
      <w:r>
        <w:rPr>
          <w:lang w:val="ja-JP" w:eastAsia="ja-JP"/>
        </w:rPr>
        <w:t>开放性</w:t>
      </w:r>
      <w:r>
        <w:rPr>
          <w:lang w:val="ja-JP" w:eastAsia="zh-CN"/>
        </w:rPr>
        <w:t>”</w:t>
      </w:r>
      <w:r>
        <w:rPr>
          <w:lang w:val="ja-JP" w:eastAsia="ja-JP"/>
        </w:rPr>
        <w:t>、</w:t>
      </w:r>
      <w:r>
        <w:rPr>
          <w:lang w:val="ja-JP" w:eastAsia="zh-CN"/>
        </w:rPr>
        <w:t>“</w:t>
      </w:r>
      <w:r>
        <w:rPr>
          <w:lang w:val="ja-JP" w:eastAsia="ja-JP"/>
        </w:rPr>
        <w:t>平等对话</w:t>
      </w:r>
      <w:r>
        <w:rPr>
          <w:lang w:val="ja-JP" w:eastAsia="zh-CN"/>
        </w:rPr>
        <w:t>”</w:t>
      </w:r>
      <w:r>
        <w:rPr>
          <w:lang w:val="ja-JP" w:eastAsia="ja-JP"/>
        </w:rPr>
        <w:t>、</w:t>
      </w:r>
      <w:r>
        <w:rPr>
          <w:lang w:val="ja-JP" w:eastAsia="zh-CN"/>
        </w:rPr>
        <w:t>“</w:t>
      </w:r>
      <w:r>
        <w:rPr>
          <w:lang w:val="ja-JP" w:eastAsia="ja-JP"/>
        </w:rPr>
        <w:t>多元化</w:t>
      </w:r>
      <w:r>
        <w:rPr>
          <w:lang w:val="ja-JP" w:eastAsia="zh-CN"/>
        </w:rPr>
        <w:t>”</w:t>
      </w:r>
      <w:r>
        <w:rPr>
          <w:lang w:val="ja-JP" w:eastAsia="ja-JP"/>
        </w:rPr>
        <w:t>以及</w:t>
      </w:r>
      <w:r>
        <w:rPr>
          <w:lang w:val="ja-JP" w:eastAsia="zh-CN"/>
        </w:rPr>
        <w:t>“</w:t>
      </w:r>
      <w:r>
        <w:rPr>
          <w:lang w:val="ja-JP" w:eastAsia="ja-JP"/>
        </w:rPr>
        <w:t>创造性</w:t>
      </w:r>
      <w:r>
        <w:rPr>
          <w:lang w:val="ja-JP" w:eastAsia="zh-CN"/>
        </w:rPr>
        <w:t>”</w:t>
      </w:r>
      <w:r>
        <w:rPr>
          <w:lang w:val="ja-JP" w:eastAsia="ja-JP"/>
        </w:rPr>
        <w:t>等特点</w:t>
      </w:r>
      <w:r>
        <w:rPr>
          <w:vertAlign w:val="superscript"/>
          <w:lang w:val="en-US" w:eastAsia="zh-CN"/>
        </w:rPr>
        <w:t>[10]</w:t>
      </w:r>
      <w:r>
        <w:rPr>
          <w:lang w:eastAsia="zh-CN"/>
        </w:rPr>
        <w:t>。所以，在</w:t>
      </w:r>
      <w:r>
        <w:t>后现代主义</w:t>
      </w:r>
      <w:r>
        <w:rPr>
          <w:lang w:val="zh-CN"/>
        </w:rPr>
        <w:t>视野</w:t>
      </w:r>
      <w:r>
        <w:t>下</w:t>
      </w:r>
      <w:r>
        <w:rPr>
          <w:lang w:val="zh-CN"/>
        </w:rPr>
        <w:t>，</w:t>
      </w:r>
      <w:r>
        <w:t>教育者</w:t>
      </w:r>
      <w:r>
        <w:rPr>
          <w:lang w:eastAsia="zh-CN"/>
        </w:rPr>
        <w:t>在辅</w:t>
      </w:r>
      <w:r>
        <w:t>导受教育者的过程中强调语言、互为主体，强调平等、多元和共同建构，强调诠释和批判性诠释，强调处境化和脉络性的知识，强调知识需要透过行动者在其自身的框架内诠释及再诠释，以便重建一个有意义的框架来解释处境化、脉络中的人、事物和社会现象</w:t>
      </w:r>
      <w:r>
        <w:rPr>
          <w:vertAlign w:val="superscript"/>
          <w:lang w:val="en-US" w:eastAsia="zh-CN"/>
        </w:rPr>
        <w:t>[11]</w:t>
      </w:r>
      <w:r>
        <w:t>。</w:t>
      </w:r>
      <w:r>
        <w:rPr>
          <w:lang w:eastAsia="zh-CN"/>
        </w:rPr>
        <w:t>同时，后现代主义教育观</w:t>
      </w:r>
      <w:r>
        <w:t>鼓励教师和学生发展一种</w:t>
      </w:r>
      <w:r>
        <w:rPr>
          <w:lang w:eastAsia="zh-CN"/>
        </w:rPr>
        <w:t>民主、平等的</w:t>
      </w:r>
      <w:r>
        <w:t>对话关系，在教学过程中持续进行思想交流</w:t>
      </w:r>
      <w:r>
        <w:rPr>
          <w:vertAlign w:val="superscript"/>
          <w:lang w:val="en-US" w:eastAsia="zh-CN"/>
        </w:rPr>
        <w:t>[12]</w:t>
      </w:r>
      <w:r>
        <w:rPr>
          <w:lang w:eastAsia="zh-CN"/>
        </w:rPr>
        <w:t>。</w:t>
      </w:r>
      <w:r>
        <w:t>正是</w:t>
      </w:r>
      <w:r>
        <w:rPr>
          <w:lang w:eastAsia="zh-CN"/>
        </w:rPr>
        <w:t>上述这些</w:t>
      </w:r>
      <w:r>
        <w:t>现代主义所不具备的特点，推动了教育方式</w:t>
      </w:r>
      <w:r>
        <w:rPr>
          <w:lang w:eastAsia="zh-CN"/>
        </w:rPr>
        <w:t>和</w:t>
      </w:r>
      <w:r>
        <w:t>理念的革新，促使我们对习以为常的传统</w:t>
      </w:r>
      <w:r>
        <w:rPr>
          <w:lang w:eastAsia="zh-CN"/>
        </w:rPr>
        <w:t>“师生”</w:t>
      </w:r>
      <w:r>
        <w:t>关系进行重新</w:t>
      </w:r>
      <w:r>
        <w:rPr>
          <w:lang w:eastAsia="zh-CN"/>
        </w:rPr>
        <w:t>思考与</w:t>
      </w:r>
      <w:r>
        <w:t>定位。</w:t>
      </w:r>
    </w:p>
    <w:p>
      <w:pPr>
        <w:pStyle w:val="22"/>
        <w:numPr>
          <w:ilvl w:val="0"/>
          <w:numId w:val="2"/>
        </w:numPr>
        <w:ind w:firstLine="422"/>
      </w:pPr>
      <w:r>
        <w:rPr>
          <w:rFonts w:hint="eastAsia"/>
        </w:rPr>
        <w:t>社会工作实习督导的角色</w:t>
      </w:r>
    </w:p>
    <w:p>
      <w:pPr>
        <w:pStyle w:val="21"/>
        <w:ind w:firstLine="420"/>
        <w:rPr>
          <w:rFonts w:hint="default"/>
          <w:lang w:eastAsia="zh-CN"/>
        </w:rPr>
      </w:pPr>
      <w:r>
        <w:t>学者指出，根据社会工作专业实践的基本处境来看，目前中国本土社会工作专业实践的督导仍处于引入发达国家和地区督导模式的阶段。在此阶段中，社会工作实习督导老师需要承担指导者、评估者、教育者和协调者四</w:t>
      </w:r>
      <w:r>
        <w:rPr>
          <w:lang w:eastAsia="zh-CN"/>
        </w:rPr>
        <w:t>种</w:t>
      </w:r>
      <w:r>
        <w:t>基本角色。而在中国本土社会工作专业实践的基本处境下，根据服务机构、服务对象、社会工作者以及服务状况</w:t>
      </w:r>
      <w:r>
        <w:rPr>
          <w:lang w:eastAsia="zh-CN"/>
        </w:rPr>
        <w:t>来看，督导老师分别扮演</w:t>
      </w:r>
      <w:r>
        <w:t>指导者和专业服务设计者</w:t>
      </w:r>
      <w:r>
        <w:rPr>
          <w:lang w:eastAsia="zh-CN"/>
        </w:rPr>
        <w:t>，</w:t>
      </w:r>
      <w:r>
        <w:t>专业服务需要的转化者和评估者</w:t>
      </w:r>
      <w:r>
        <w:rPr>
          <w:lang w:eastAsia="zh-CN"/>
        </w:rPr>
        <w:t>，</w:t>
      </w:r>
      <w:r>
        <w:t>日常专业服务的指导者和教育者</w:t>
      </w:r>
      <w:r>
        <w:rPr>
          <w:lang w:eastAsia="zh-CN"/>
        </w:rPr>
        <w:t>，</w:t>
      </w:r>
      <w:r>
        <w:t>专业服务的培训者和协调者</w:t>
      </w:r>
      <w:r>
        <w:rPr>
          <w:vertAlign w:val="superscript"/>
          <w:lang w:val="en-US" w:eastAsia="zh-CN"/>
        </w:rPr>
        <w:t>[13]</w:t>
      </w:r>
      <w:r>
        <w:rPr>
          <w:lang w:eastAsia="zh-CN"/>
        </w:rPr>
        <w:t>。</w:t>
      </w:r>
    </w:p>
    <w:p>
      <w:pPr>
        <w:pStyle w:val="21"/>
        <w:ind w:firstLine="420"/>
        <w:rPr>
          <w:rFonts w:hint="default"/>
          <w:lang w:eastAsia="zh-CN"/>
        </w:rPr>
      </w:pPr>
      <w:r>
        <w:t>根据社会工作专业实习进程来看，每个实习阶段督导</w:t>
      </w:r>
      <w:r>
        <w:rPr>
          <w:lang w:eastAsia="zh-CN"/>
        </w:rPr>
        <w:t>者</w:t>
      </w:r>
      <w:r>
        <w:t>扮演的角色各有侧重。张敏杰</w:t>
      </w:r>
      <w:r>
        <w:rPr>
          <w:lang w:eastAsia="zh-CN"/>
        </w:rPr>
        <w:t>和</w:t>
      </w:r>
      <w:r>
        <w:t>倪婉红</w:t>
      </w:r>
      <w:r>
        <w:rPr>
          <w:vertAlign w:val="superscript"/>
          <w:lang w:val="en-US" w:eastAsia="zh-CN"/>
        </w:rPr>
        <w:t>[14]</w:t>
      </w:r>
      <w:r>
        <w:rPr>
          <w:lang w:eastAsia="zh-CN"/>
        </w:rPr>
        <w:t>认为</w:t>
      </w:r>
      <w:r>
        <w:t>在实习的计划时期，督导</w:t>
      </w:r>
      <w:r>
        <w:rPr>
          <w:lang w:eastAsia="zh-CN"/>
        </w:rPr>
        <w:t>者主要</w:t>
      </w:r>
      <w:r>
        <w:t>扮演经纪人的角色；在实习初期，督导</w:t>
      </w:r>
      <w:r>
        <w:rPr>
          <w:lang w:eastAsia="zh-CN"/>
        </w:rPr>
        <w:t>者</w:t>
      </w:r>
      <w:r>
        <w:t>主要履行行政者和支持者的角色；在实习中后期，督导者则扮演评估者的角色。</w:t>
      </w:r>
      <w:r>
        <w:rPr>
          <w:lang w:eastAsia="zh-CN"/>
        </w:rPr>
        <w:t>而</w:t>
      </w:r>
      <w:r>
        <w:t>季钦</w:t>
      </w:r>
      <w:r>
        <w:rPr>
          <w:vertAlign w:val="superscript"/>
          <w:lang w:val="en-US" w:eastAsia="zh-CN"/>
        </w:rPr>
        <w:t>[15]</w:t>
      </w:r>
      <w:r>
        <w:rPr>
          <w:lang w:eastAsia="zh-CN"/>
        </w:rPr>
        <w:t>则</w:t>
      </w:r>
      <w:r>
        <w:t>把实习过程中的督导过程看成一个整体，在整个实习过程中，督导者需要同时扮演教育者、联络者和支持者的角色</w:t>
      </w:r>
      <w:r>
        <w:rPr>
          <w:lang w:eastAsia="zh-CN"/>
        </w:rPr>
        <w:t>。</w:t>
      </w:r>
    </w:p>
    <w:p>
      <w:pPr>
        <w:pStyle w:val="21"/>
        <w:ind w:firstLine="420"/>
        <w:rPr>
          <w:rFonts w:hint="default"/>
        </w:rPr>
      </w:pPr>
      <w:r>
        <w:t>综上所述，在社会工作实习督导</w:t>
      </w:r>
      <w:r>
        <w:rPr>
          <w:lang w:eastAsia="zh-CN"/>
        </w:rPr>
        <w:t>的</w:t>
      </w:r>
      <w:r>
        <w:t>过程中，督导者的角色并非一成不变，而是</w:t>
      </w:r>
      <w:r>
        <w:rPr>
          <w:lang w:eastAsia="zh-CN"/>
        </w:rPr>
        <w:t>通过</w:t>
      </w:r>
      <w:r>
        <w:t>督导者、被督导者、实习机构、服务对象几方直接或间接的互动和对话中建构出来的。</w:t>
      </w:r>
    </w:p>
    <w:p>
      <w:pPr>
        <w:pStyle w:val="20"/>
        <w:numPr>
          <w:ilvl w:val="0"/>
          <w:numId w:val="3"/>
        </w:numPr>
        <w:ind w:firstLine="482"/>
        <w:rPr>
          <w:lang w:val="zh-TW" w:eastAsia="zh-TW"/>
        </w:rPr>
      </w:pPr>
      <w:r>
        <w:rPr>
          <w:lang w:val="zh-TW" w:eastAsia="zh-TW"/>
        </w:rPr>
        <w:t>理论视角</w:t>
      </w:r>
    </w:p>
    <w:p>
      <w:pPr>
        <w:pStyle w:val="21"/>
        <w:ind w:firstLine="420"/>
        <w:rPr>
          <w:rFonts w:hint="default"/>
        </w:rPr>
      </w:pPr>
      <w:r>
        <w:t>本研究</w:t>
      </w:r>
      <w:r>
        <w:rPr>
          <w:lang w:eastAsia="zh-CN"/>
        </w:rPr>
        <w:t>以</w:t>
      </w:r>
      <w:r>
        <w:t>后现代主义</w:t>
      </w:r>
      <w:r>
        <w:rPr>
          <w:lang w:eastAsia="zh-CN"/>
        </w:rPr>
        <w:t>理论为指导，该理论分支众多。</w:t>
      </w:r>
      <w:r>
        <w:t>与现代主义</w:t>
      </w:r>
      <w:r>
        <w:rPr>
          <w:lang w:eastAsia="zh-CN"/>
        </w:rPr>
        <w:t>理论</w:t>
      </w:r>
      <w:r>
        <w:t>讲究宏大叙事、单一性、秩序等相反</w:t>
      </w:r>
      <w:r>
        <w:rPr>
          <w:lang w:eastAsia="zh-CN"/>
        </w:rPr>
        <w:t>，</w:t>
      </w:r>
      <w:r>
        <w:t>具有以下</w:t>
      </w:r>
      <w:r>
        <w:rPr>
          <w:lang w:val="zh-CN"/>
        </w:rPr>
        <w:t>四</w:t>
      </w:r>
      <w:r>
        <w:t>个较明显的特征：</w:t>
      </w:r>
      <w:r>
        <w:rPr>
          <w:lang w:val="zh-CN"/>
        </w:rPr>
        <w:t>第一</w:t>
      </w:r>
      <w:r>
        <w:t>，解构中心主义，打破等级权威。它对人们习以为常的事物进行研究，发现其中的二元关系并尝试对其进行批判，甚至进行颠覆</w:t>
      </w:r>
      <w:r>
        <w:rPr>
          <w:lang w:val="zh-CN"/>
        </w:rPr>
        <w:t>；第二</w:t>
      </w:r>
      <w:r>
        <w:t>，反对同一性，推崇多元化。后现代主义认为单向度的思维是危险的；</w:t>
      </w:r>
      <w:r>
        <w:rPr>
          <w:lang w:val="zh-CN"/>
        </w:rPr>
        <w:t>第三，</w:t>
      </w:r>
      <w:r>
        <w:t>反对理性主义，推崇感情和直觉。它认为没有绝对的真理，真理是建构</w:t>
      </w:r>
      <w:r>
        <w:rPr>
          <w:lang w:val="zh-CN"/>
        </w:rPr>
        <w:t>出来的；第四</w:t>
      </w:r>
      <w:r>
        <w:t>，主张协同性，崇尚平等</w:t>
      </w:r>
      <w:r>
        <w:rPr>
          <w:lang w:eastAsia="zh-CN"/>
        </w:rPr>
        <w:t>的</w:t>
      </w:r>
      <w:r>
        <w:t>对话。</w:t>
      </w:r>
    </w:p>
    <w:p>
      <w:pPr>
        <w:pStyle w:val="21"/>
        <w:ind w:firstLine="420"/>
        <w:rPr>
          <w:rFonts w:hint="default"/>
        </w:rPr>
      </w:pPr>
      <w:r>
        <w:t>本文使用的后现代主义是</w:t>
      </w:r>
      <w:r>
        <w:rPr>
          <w:lang w:val="zh-CN" w:eastAsia="zh-CN"/>
        </w:rPr>
        <w:t>以大卫</w:t>
      </w:r>
      <w:r>
        <w:t>·</w:t>
      </w:r>
      <w:r>
        <w:rPr>
          <w:lang w:eastAsia="zh-CN"/>
        </w:rPr>
        <w:t>雷</w:t>
      </w:r>
      <w:r>
        <w:rPr>
          <w:lang w:val="en-US" w:eastAsia="zh-CN"/>
        </w:rPr>
        <w:t>·</w:t>
      </w:r>
      <w:r>
        <w:rPr>
          <w:lang w:val="zh-CN" w:eastAsia="zh-CN"/>
        </w:rPr>
        <w:t>格里芬为代表的</w:t>
      </w:r>
      <w:r>
        <w:t>建设性后现代主义，即采用批判的思维方式，从被督导者的角度去看当前社会工作实习督导老师所扮演的角色，采用反</w:t>
      </w:r>
      <w:r>
        <w:rPr>
          <w:lang w:eastAsia="zh-CN"/>
        </w:rPr>
        <w:t>“</w:t>
      </w:r>
      <w:r>
        <w:t>主—</w:t>
      </w:r>
      <w:r>
        <w:rPr>
          <w:lang w:eastAsia="zh-CN"/>
        </w:rPr>
        <w:t>客”</w:t>
      </w:r>
      <w:r>
        <w:t>二元式的思想体系，来实现</w:t>
      </w:r>
      <w:r>
        <w:rPr>
          <w:lang w:eastAsia="zh-CN"/>
        </w:rPr>
        <w:t>对</w:t>
      </w:r>
      <w:r>
        <w:t>现代主义</w:t>
      </w:r>
      <w:r>
        <w:rPr>
          <w:lang w:eastAsia="zh-CN"/>
        </w:rPr>
        <w:t>视阈</w:t>
      </w:r>
      <w:r>
        <w:t>下“</w:t>
      </w:r>
      <w:r>
        <w:rPr>
          <w:lang w:val="zh-CN"/>
        </w:rPr>
        <w:t>督导者</w:t>
      </w:r>
      <w:r>
        <w:t>—被</w:t>
      </w:r>
      <w:r>
        <w:rPr>
          <w:lang w:val="zh-CN"/>
        </w:rPr>
        <w:t>督导</w:t>
      </w:r>
      <w:r>
        <w:t>者”</w:t>
      </w:r>
      <w:r>
        <w:rPr>
          <w:lang w:eastAsia="zh-CN"/>
        </w:rPr>
        <w:t>之间</w:t>
      </w:r>
      <w:r>
        <w:t>二元关系的批判与解构，并在此基础上尝试对</w:t>
      </w:r>
      <w:r>
        <w:rPr>
          <w:lang w:eastAsia="zh-CN"/>
        </w:rPr>
        <w:t>督导者</w:t>
      </w:r>
      <w:r>
        <w:t>的角色进行重构。</w:t>
      </w:r>
    </w:p>
    <w:p>
      <w:pPr>
        <w:pStyle w:val="20"/>
        <w:numPr>
          <w:ilvl w:val="0"/>
          <w:numId w:val="3"/>
        </w:numPr>
        <w:ind w:firstLine="482"/>
        <w:rPr>
          <w:lang w:val="zh-TW" w:eastAsia="zh-TW"/>
        </w:rPr>
      </w:pPr>
      <w:r>
        <w:rPr>
          <w:rFonts w:hint="eastAsia"/>
          <w:lang w:val="zh-TW"/>
        </w:rPr>
        <w:t>研究思路和研究方法</w:t>
      </w:r>
    </w:p>
    <w:p>
      <w:pPr>
        <w:pStyle w:val="22"/>
        <w:numPr>
          <w:ilvl w:val="0"/>
          <w:numId w:val="4"/>
        </w:numPr>
        <w:ind w:firstLine="422"/>
        <w:rPr>
          <w:lang w:val="zh-TW" w:eastAsia="zh-TW"/>
        </w:rPr>
      </w:pPr>
      <w:r>
        <w:rPr>
          <w:rFonts w:hint="eastAsia"/>
          <w:lang w:val="zh-TW"/>
        </w:rPr>
        <w:t>研究思路</w:t>
      </w:r>
    </w:p>
    <w:p>
      <w:pPr>
        <w:pStyle w:val="21"/>
        <w:ind w:firstLine="420"/>
        <w:rPr>
          <w:rFonts w:hint="default"/>
        </w:rPr>
      </w:pPr>
      <w:r>
        <w:t>笔者以后现代主义理论为指导，从被督导者的视角出发，对社会工作实习督导老师</w:t>
      </w:r>
      <w:r>
        <w:rPr>
          <w:lang w:val="zh-CN"/>
        </w:rPr>
        <w:t>的</w:t>
      </w:r>
      <w:r>
        <w:t>角色进行研究，发现</w:t>
      </w:r>
      <w:r>
        <w:rPr>
          <w:lang w:val="zh-CN"/>
        </w:rPr>
        <w:t>在实习</w:t>
      </w:r>
      <w:r>
        <w:t>督导过程中“</w:t>
      </w:r>
      <w:r>
        <w:rPr>
          <w:lang w:val="zh-CN"/>
        </w:rPr>
        <w:t>督导者—被督导者”之间存在</w:t>
      </w:r>
      <w:r>
        <w:t>二元结构</w:t>
      </w:r>
      <w:r>
        <w:rPr>
          <w:lang w:val="zh-CN"/>
        </w:rPr>
        <w:t>关系</w:t>
      </w:r>
      <w:r>
        <w:t>，尝试对其进行</w:t>
      </w:r>
      <w:r>
        <w:rPr>
          <w:lang w:eastAsia="zh-CN"/>
        </w:rPr>
        <w:t>“</w:t>
      </w:r>
      <w:r>
        <w:t>双读</w:t>
      </w:r>
      <w:r>
        <w:rPr>
          <w:lang w:eastAsia="zh-CN"/>
        </w:rPr>
        <w:t>”</w:t>
      </w:r>
      <w:r>
        <w:t>，即第一读探析这种结构是如何形成的，对其合理性进行解释；第二读，对</w:t>
      </w:r>
      <w:r>
        <w:rPr>
          <w:lang w:val="zh-CN"/>
        </w:rPr>
        <w:t>督导者—被督导者之间的</w:t>
      </w:r>
      <w:r>
        <w:t>二元结构</w:t>
      </w:r>
      <w:r>
        <w:rPr>
          <w:lang w:eastAsia="zh-CN"/>
        </w:rPr>
        <w:t>关系</w:t>
      </w:r>
      <w:r>
        <w:t>进行解构、颠倒、重构，动摇其合理性基础。在此基础上，结合被督导者的视角，</w:t>
      </w:r>
      <w:r>
        <w:rPr>
          <w:lang w:val="zh-CN"/>
        </w:rPr>
        <w:t>为“督导者—被督导者”</w:t>
      </w:r>
      <w:r>
        <w:t>之间建立更加合理</w:t>
      </w:r>
      <w:r>
        <w:rPr>
          <w:lang w:eastAsia="zh-CN"/>
        </w:rPr>
        <w:t>、</w:t>
      </w:r>
      <w:r>
        <w:t>有效的关系提出建议。</w:t>
      </w:r>
    </w:p>
    <w:p>
      <w:pPr>
        <w:pStyle w:val="22"/>
        <w:numPr>
          <w:ilvl w:val="0"/>
          <w:numId w:val="4"/>
        </w:numPr>
        <w:ind w:firstLine="422"/>
        <w:rPr>
          <w:lang w:val="zh-TW" w:eastAsia="zh-TW"/>
        </w:rPr>
      </w:pPr>
      <w:r>
        <w:rPr>
          <w:rFonts w:hint="eastAsia"/>
          <w:lang w:val="zh-TW"/>
        </w:rPr>
        <w:t>研究方法</w:t>
      </w:r>
    </w:p>
    <w:p>
      <w:pPr>
        <w:pStyle w:val="21"/>
        <w:ind w:firstLine="420"/>
        <w:rPr>
          <w:rFonts w:hint="default"/>
          <w:lang w:eastAsia="zh-CN"/>
        </w:rPr>
      </w:pPr>
      <w:r>
        <w:t>本研究采用访谈法、行动研究法和</w:t>
      </w:r>
      <w:r>
        <w:rPr>
          <w:lang w:eastAsia="zh-CN"/>
        </w:rPr>
        <w:t>“</w:t>
      </w:r>
      <w:r>
        <w:t>双读</w:t>
      </w:r>
      <w:r>
        <w:rPr>
          <w:lang w:eastAsia="zh-CN"/>
        </w:rPr>
        <w:t>”</w:t>
      </w:r>
      <w:r>
        <w:t>文本战略，以简单随机抽样方法，从 B大学2017级MSW的36名全日制学生中抽取10名学生对其进行深</w:t>
      </w:r>
      <w:r>
        <w:rPr>
          <w:lang w:eastAsia="zh-CN"/>
        </w:rPr>
        <w:t>度</w:t>
      </w:r>
      <w:r>
        <w:t>访谈。访谈内容聚焦于</w:t>
      </w:r>
      <w:r>
        <w:rPr>
          <w:lang w:val="zh-CN"/>
        </w:rPr>
        <w:t>被督导</w:t>
      </w:r>
      <w:r>
        <w:t>者在实习过程中接受督导的情况，与督导老师之间的关系，对所接受督导的感受</w:t>
      </w:r>
      <w:r>
        <w:rPr>
          <w:lang w:eastAsia="zh-CN"/>
        </w:rPr>
        <w:t>和</w:t>
      </w:r>
      <w:r>
        <w:t>期待</w:t>
      </w:r>
      <w:r>
        <w:rPr>
          <w:lang w:eastAsia="zh-CN"/>
        </w:rPr>
        <w:t>、</w:t>
      </w:r>
      <w:r>
        <w:t>对督导过程的解读等</w:t>
      </w:r>
      <w:r>
        <w:rPr>
          <w:lang w:eastAsia="zh-CN"/>
        </w:rPr>
        <w:t>。</w:t>
      </w:r>
    </w:p>
    <w:p>
      <w:pPr>
        <w:pStyle w:val="20"/>
        <w:ind w:firstLine="482"/>
        <w:rPr>
          <w:lang w:val="zh-TW" w:eastAsia="zh-TW"/>
        </w:rPr>
      </w:pPr>
      <w:r>
        <w:rPr>
          <w:rFonts w:hint="eastAsia"/>
          <w:lang w:val="zh-CN"/>
        </w:rPr>
        <w:t>五、“</w:t>
      </w:r>
      <w:r>
        <w:rPr>
          <w:lang w:val="zh-TW" w:eastAsia="zh-TW"/>
        </w:rPr>
        <w:t>双读”文本战略下</w:t>
      </w:r>
      <w:r>
        <w:rPr>
          <w:rFonts w:hint="eastAsia"/>
          <w:lang w:val="zh-TW" w:eastAsia="zh-TW"/>
        </w:rPr>
        <w:t>“</w:t>
      </w:r>
      <w:r>
        <w:rPr>
          <w:lang w:val="zh-TW" w:eastAsia="zh-TW"/>
        </w:rPr>
        <w:t>督导</w:t>
      </w:r>
      <w:r>
        <w:rPr>
          <w:lang w:val="zh-CN"/>
        </w:rPr>
        <w:t>者—被督导</w:t>
      </w:r>
      <w:r>
        <w:rPr>
          <w:lang w:val="zh-TW" w:eastAsia="zh-TW"/>
        </w:rPr>
        <w:t>者</w:t>
      </w:r>
      <w:r>
        <w:rPr>
          <w:rFonts w:hint="eastAsia"/>
          <w:lang w:val="zh-TW" w:eastAsia="zh-TW"/>
        </w:rPr>
        <w:t>”</w:t>
      </w:r>
      <w:r>
        <w:rPr>
          <w:lang w:val="zh-TW" w:eastAsia="zh-TW"/>
        </w:rPr>
        <w:t>之间关系的文本解读</w:t>
      </w:r>
    </w:p>
    <w:p>
      <w:pPr>
        <w:pStyle w:val="21"/>
        <w:ind w:firstLine="420"/>
        <w:rPr>
          <w:rFonts w:hint="default" w:ascii="标楷" w:hAnsi="标楷" w:eastAsia="标楷" w:cs="标楷"/>
          <w:szCs w:val="24"/>
        </w:rPr>
      </w:pPr>
      <w:r>
        <w:rPr>
          <w:lang w:val="en-US" w:eastAsia="zh-CN"/>
        </w:rPr>
        <w:t>笔者全程参与B大学MSW社会工作专业实习，结合10位受访者的深度访谈资料的整理和分析，得到现有督导角色的文本。</w:t>
      </w:r>
    </w:p>
    <w:p>
      <w:pPr>
        <w:pStyle w:val="22"/>
        <w:numPr>
          <w:ilvl w:val="0"/>
          <w:numId w:val="5"/>
        </w:numPr>
        <w:ind w:firstLine="422"/>
        <w:rPr>
          <w:lang w:val="zh-TW" w:eastAsia="zh-TW"/>
        </w:rPr>
      </w:pPr>
      <w:r>
        <w:rPr>
          <w:lang w:val="zh-TW" w:eastAsia="zh-TW"/>
        </w:rPr>
        <w:t>第一读：现有督导角色文本如何被建构</w:t>
      </w:r>
    </w:p>
    <w:p>
      <w:pPr>
        <w:pStyle w:val="21"/>
        <w:ind w:firstLine="420"/>
        <w:rPr>
          <w:rFonts w:hint="default"/>
        </w:rPr>
      </w:pPr>
      <w:r>
        <w:t>后现代主义者强调文本研究，</w:t>
      </w:r>
      <w:r>
        <w:rPr>
          <w:lang w:eastAsia="zh-CN"/>
        </w:rPr>
        <w:t>认为每一个事件都可以称之为</w:t>
      </w:r>
      <w:r>
        <w:t>一个文本。</w:t>
      </w:r>
      <w:r>
        <w:rPr>
          <w:lang w:eastAsia="zh-CN"/>
        </w:rPr>
        <w:t>因此，</w:t>
      </w:r>
      <w:r>
        <w:t>一个特定的督导过程及其包含的各种关系可以被</w:t>
      </w:r>
      <w:r>
        <w:rPr>
          <w:lang w:eastAsia="zh-CN"/>
        </w:rPr>
        <w:t>看成</w:t>
      </w:r>
      <w:r>
        <w:t>一个文本。文本是客观</w:t>
      </w:r>
      <w:r>
        <w:rPr>
          <w:lang w:eastAsia="zh-CN"/>
        </w:rPr>
        <w:t>存在</w:t>
      </w:r>
      <w:r>
        <w:t>的，</w:t>
      </w:r>
      <w:r>
        <w:rPr>
          <w:lang w:eastAsia="zh-CN"/>
        </w:rPr>
        <w:t>但对</w:t>
      </w:r>
      <w:r>
        <w:t>文本</w:t>
      </w:r>
      <w:r>
        <w:rPr>
          <w:lang w:eastAsia="zh-CN"/>
        </w:rPr>
        <w:t>的</w:t>
      </w:r>
      <w:r>
        <w:t>诠释</w:t>
      </w:r>
      <w:r>
        <w:rPr>
          <w:lang w:eastAsia="zh-CN"/>
        </w:rPr>
        <w:t>充满了主观性。因此</w:t>
      </w:r>
      <w:r>
        <w:t>，后现代主义者采用</w:t>
      </w:r>
      <w:r>
        <w:rPr>
          <w:lang w:eastAsia="zh-CN"/>
        </w:rPr>
        <w:t>“</w:t>
      </w:r>
      <w:r>
        <w:t>双读</w:t>
      </w:r>
      <w:r>
        <w:rPr>
          <w:lang w:eastAsia="zh-CN"/>
        </w:rPr>
        <w:t>”</w:t>
      </w:r>
      <w:r>
        <w:t>文本战略，对各种文本进行解读与批判、解构与建构。</w:t>
      </w:r>
    </w:p>
    <w:p>
      <w:pPr>
        <w:pStyle w:val="21"/>
        <w:numPr>
          <w:ilvl w:val="0"/>
          <w:numId w:val="6"/>
        </w:numPr>
        <w:ind w:firstLineChars="0"/>
        <w:rPr>
          <w:rFonts w:hint="default"/>
          <w:lang w:val="en-US" w:eastAsia="zh-CN"/>
        </w:rPr>
      </w:pPr>
      <w:r>
        <w:rPr>
          <w:rFonts w:ascii="宋体" w:hAnsi="宋体" w:cs="宋体"/>
        </w:rPr>
        <w:t>社</w:t>
      </w:r>
      <w:r>
        <w:t>会工作实习场域中的知识与权力</w:t>
      </w:r>
      <w:r>
        <w:rPr>
          <w:lang w:val="en-US" w:eastAsia="zh-CN"/>
        </w:rPr>
        <w:t xml:space="preserve"> </w:t>
      </w:r>
    </w:p>
    <w:p>
      <w:pPr>
        <w:pStyle w:val="21"/>
        <w:ind w:firstLine="420"/>
        <w:rPr>
          <w:rFonts w:hint="default"/>
        </w:rPr>
      </w:pPr>
      <w:r>
        <w:rPr>
          <w:lang w:val="en-US" w:eastAsia="zh-CN"/>
        </w:rPr>
        <w:t>根据学者对社会工作专业实习督导的研究可知，在督导的过程中，督导者和被督导者处于同一个实习教育场域，彼此之间通过知识、信息、社会角色关系等的传达与反馈、触发与应答，产生种种联系。被督导者作为这一场域中的另一个核心，其怎样看待和回应督导者与之建立的联系，对于督导的成败有着至关重要的作用。</w:t>
      </w:r>
      <w:r>
        <w:t>通过对访谈法和行动研究法所获得的资料进行分析，发现有4位受访者在实习督导过程中时常感受到来自督导</w:t>
      </w:r>
      <w:r>
        <w:rPr>
          <w:lang w:eastAsia="zh-CN"/>
        </w:rPr>
        <w:t>者</w:t>
      </w:r>
      <w:r>
        <w:t>的压力。比如受访者A6在访谈过程中说：</w:t>
      </w:r>
      <w:r>
        <w:rPr>
          <w:rFonts w:ascii="楷体" w:hAnsi="楷体" w:eastAsia="楷体"/>
          <w:i/>
          <w:lang w:eastAsia="zh-CN"/>
        </w:rPr>
        <w:t>“</w:t>
      </w:r>
      <w:r>
        <w:rPr>
          <w:rFonts w:ascii="楷体" w:hAnsi="楷体" w:eastAsia="楷体"/>
          <w:i/>
        </w:rPr>
        <w:t>我的督导老师经常对我和另外两名实习生提出各种强制性的要求，有些要求我们根本不愿意去做，但她是老师，我又无法开口拒绝，于是只能去做了。”</w:t>
      </w:r>
      <w:r>
        <w:rPr>
          <w:lang w:val="en-US" w:eastAsia="zh-CN"/>
        </w:rPr>
        <w:t>A10也表示</w:t>
      </w:r>
      <w:r>
        <w:rPr>
          <w:rFonts w:ascii="楷体" w:hAnsi="楷体" w:eastAsia="楷体"/>
          <w:i/>
          <w:lang w:eastAsia="zh-CN"/>
        </w:rPr>
        <w:t>“在实习过程中，我的督导老师让我做什么事我都会尽量去做，尽量和老师保持好关系，这样至少不会挂科”</w:t>
      </w:r>
      <w:r>
        <w:rPr>
          <w:lang w:val="en-US" w:eastAsia="zh-CN"/>
        </w:rPr>
        <w:t>。</w:t>
      </w:r>
      <w:r>
        <w:t>由此可见，</w:t>
      </w:r>
      <w:r>
        <w:rPr>
          <w:lang w:eastAsia="zh-CN"/>
        </w:rPr>
        <w:t>有的被督导者尽管</w:t>
      </w:r>
      <w:r>
        <w:t>内心很不愿意去完成</w:t>
      </w:r>
      <w:r>
        <w:rPr>
          <w:lang w:val="zh-CN"/>
        </w:rPr>
        <w:t>督导</w:t>
      </w:r>
      <w:r>
        <w:t>老师临时安排或强制安排与实习任务书不一致的任务，但还是会迫于督导</w:t>
      </w:r>
      <w:r>
        <w:rPr>
          <w:lang w:val="zh-CN"/>
        </w:rPr>
        <w:t>者</w:t>
      </w:r>
      <w:r>
        <w:t>的</w:t>
      </w:r>
      <w:r>
        <w:rPr>
          <w:lang w:eastAsia="zh-CN"/>
        </w:rPr>
        <w:t>压力</w:t>
      </w:r>
      <w:r>
        <w:t>去完成。可见在“督导者—被督导者”这对关系中，前者有能力迫使后者完成其不愿做的事情。</w:t>
      </w:r>
      <w:r>
        <w:rPr>
          <w:lang w:val="zh-CN"/>
        </w:rPr>
        <w:t>显然</w:t>
      </w:r>
      <w:r>
        <w:t>，双方存在权力关系。那么，这种权力关系是如何形成的？经过研究与分析，主要有以下</w:t>
      </w:r>
      <w:r>
        <w:rPr>
          <w:lang w:eastAsia="zh-CN"/>
        </w:rPr>
        <w:t>两</w:t>
      </w:r>
      <w:r>
        <w:t>个原因：</w:t>
      </w:r>
    </w:p>
    <w:p>
      <w:pPr>
        <w:pStyle w:val="21"/>
        <w:ind w:firstLine="420"/>
        <w:rPr>
          <w:rFonts w:hint="default"/>
        </w:rPr>
      </w:pPr>
      <w:r>
        <w:rPr>
          <w:lang w:eastAsia="zh-CN"/>
        </w:rPr>
        <w:t>第一</w:t>
      </w:r>
      <w:r>
        <w:t>，督导者拥有</w:t>
      </w:r>
      <w:r>
        <w:rPr>
          <w:lang w:eastAsia="zh-CN"/>
        </w:rPr>
        <w:t>丰富的社会工作专业</w:t>
      </w:r>
      <w:r>
        <w:t>知识。知识不仅是柏拉图所说的“美德”，更是福柯所言的“权力”。</w:t>
      </w:r>
      <w:r>
        <w:rPr>
          <w:lang w:val="en-US" w:eastAsia="zh-CN"/>
        </w:rPr>
        <w:t>在社会工作专业实习督导过程中，与督导者相比，被督导者在专业知识和实务技能方面都相对匮乏，因而容易在行为或语言上表现出对督导者的依附。在这样的互动情境中，督导者一旦接收到来自被督导者依附的期待，就会有意识或无意识的表现出自己的权威形象，作为被督导者可依附的对象。如：受访者A7在访谈中说</w:t>
      </w:r>
      <w:r>
        <w:rPr>
          <w:rFonts w:ascii="楷体" w:hAnsi="楷体" w:eastAsia="楷体"/>
          <w:i/>
          <w:lang w:eastAsia="zh-CN"/>
        </w:rPr>
        <w:t>“在实习过程中督导老师说什么就是什么，让我做什么我就做什么，就算有时候我不太赞同老师的观点，但也不会表现出来，我还是会像大家一样点头表示赞同。老师得到大家的认可时，会继续说下去，重要的地方还提醒我们记下来，有时候还会给我们推荐相关的书籍”</w:t>
      </w:r>
      <w:r>
        <w:t>。</w:t>
      </w:r>
      <w:r>
        <w:rPr>
          <w:lang w:val="en-US" w:eastAsia="zh-CN"/>
        </w:rPr>
        <w:t>这样的教育模式很容易</w:t>
      </w:r>
      <w:r>
        <w:rPr>
          <w:lang w:eastAsia="zh-CN"/>
        </w:rPr>
        <w:t>形成</w:t>
      </w:r>
      <w:r>
        <w:t>以老师为中心，以学生为外围行星的</w:t>
      </w:r>
      <w:r>
        <w:rPr>
          <w:lang w:eastAsia="zh-CN"/>
        </w:rPr>
        <w:t>“</w:t>
      </w:r>
      <w:r>
        <w:t>中心—边缘</w:t>
      </w:r>
      <w:r>
        <w:rPr>
          <w:lang w:eastAsia="zh-CN"/>
        </w:rPr>
        <w:t>”</w:t>
      </w:r>
      <w:r>
        <w:t>模</w:t>
      </w:r>
      <w:r>
        <w:rPr>
          <w:lang w:eastAsia="zh-CN"/>
        </w:rPr>
        <w:t>式</w:t>
      </w:r>
      <w:r>
        <w:rPr>
          <w:lang w:val="en-US" w:eastAsia="zh-CN"/>
        </w:rPr>
        <w:t>，如果被督导者在实习过程中一直如此接受教育，形成依附于督导者的习惯，就很难培养出具有独立思考能力和批判精神的社会工作专业人才。</w:t>
      </w:r>
    </w:p>
    <w:p>
      <w:pPr>
        <w:pStyle w:val="21"/>
        <w:ind w:firstLine="420"/>
        <w:rPr>
          <w:rFonts w:hint="default"/>
        </w:rPr>
      </w:pPr>
      <w:r>
        <w:rPr>
          <w:lang w:eastAsia="zh-CN"/>
        </w:rPr>
        <w:t>第二</w:t>
      </w:r>
      <w:r>
        <w:t>，督导</w:t>
      </w:r>
      <w:r>
        <w:rPr>
          <w:lang w:val="zh-CN"/>
        </w:rPr>
        <w:t>者</w:t>
      </w:r>
      <w:r>
        <w:t>拥有社会文本的赋权。</w:t>
      </w:r>
      <w:r>
        <w:rPr>
          <w:lang w:eastAsia="zh-CN"/>
        </w:rPr>
        <w:t>在传统的填鸭式的教育模式下，社会大众对社会工作专业实习的期许表现为“在</w:t>
      </w:r>
      <w:r>
        <w:rPr>
          <w:lang w:val="zh-CN"/>
        </w:rPr>
        <w:t>督导</w:t>
      </w:r>
      <w:r>
        <w:t>者</w:t>
      </w:r>
      <w:r>
        <w:rPr>
          <w:lang w:eastAsia="zh-CN"/>
        </w:rPr>
        <w:t>的督导下，被督导者掌握作为一名合格的社会工作者该有的知识和技能”。在实习过程中，</w:t>
      </w:r>
      <w:r>
        <w:t>督导者因掌握</w:t>
      </w:r>
      <w:r>
        <w:rPr>
          <w:lang w:eastAsia="zh-CN"/>
        </w:rPr>
        <w:t>丰富的</w:t>
      </w:r>
      <w:r>
        <w:t>专业知识和技能，其社会文本角色被设定或默认为该领域的权威。</w:t>
      </w:r>
      <w:r>
        <w:rPr>
          <w:lang w:eastAsia="zh-CN"/>
        </w:rPr>
        <w:t>这不仅赋予了</w:t>
      </w:r>
      <w:r>
        <w:t>督导者话语权，</w:t>
      </w:r>
      <w:r>
        <w:rPr>
          <w:lang w:eastAsia="zh-CN"/>
        </w:rPr>
        <w:t>还</w:t>
      </w:r>
      <w:r>
        <w:t>获得了</w:t>
      </w:r>
      <w:r>
        <w:rPr>
          <w:lang w:eastAsia="zh-CN"/>
        </w:rPr>
        <w:t>督导关系中</w:t>
      </w:r>
      <w:r>
        <w:t>的相对优势</w:t>
      </w:r>
      <w:r>
        <w:rPr>
          <w:lang w:eastAsia="zh-CN"/>
        </w:rPr>
        <w:t>，</w:t>
      </w:r>
      <w:r>
        <w:t>督导者</w:t>
      </w:r>
      <w:r>
        <w:rPr>
          <w:lang w:eastAsia="zh-CN"/>
        </w:rPr>
        <w:t>可</w:t>
      </w:r>
      <w:r>
        <w:t>利用这种相对优势</w:t>
      </w:r>
      <w:r>
        <w:rPr>
          <w:lang w:eastAsia="zh-CN"/>
        </w:rPr>
        <w:t>来实现</w:t>
      </w:r>
      <w:r>
        <w:t>自己的</w:t>
      </w:r>
      <w:r>
        <w:rPr>
          <w:lang w:eastAsia="zh-CN"/>
        </w:rPr>
        <w:t>意愿</w:t>
      </w:r>
      <w:r>
        <w:t>，从而完成督导这一过程的诠释。</w:t>
      </w:r>
    </w:p>
    <w:p>
      <w:pPr>
        <w:pStyle w:val="21"/>
        <w:numPr>
          <w:ilvl w:val="0"/>
          <w:numId w:val="6"/>
        </w:numPr>
        <w:ind w:firstLineChars="0"/>
        <w:rPr>
          <w:rFonts w:hint="default"/>
          <w:lang w:eastAsia="zh-CN"/>
        </w:rPr>
      </w:pPr>
      <w:r>
        <w:rPr>
          <w:rFonts w:ascii="宋体" w:hAnsi="宋体" w:cs="宋体"/>
        </w:rPr>
        <w:t>社</w:t>
      </w:r>
      <w:r>
        <w:t>会工作实习场域中的知识与价值</w:t>
      </w:r>
    </w:p>
    <w:p>
      <w:pPr>
        <w:pStyle w:val="21"/>
        <w:ind w:firstLine="420"/>
        <w:rPr>
          <w:rFonts w:hint="default"/>
          <w:lang w:eastAsia="zh-CN"/>
        </w:rPr>
      </w:pPr>
      <w:r>
        <w:t>传统知识观确信知识是确定的认识，是人对客观世界及其规律的把握</w:t>
      </w:r>
      <w:r>
        <w:rPr>
          <w:lang w:eastAsia="zh-CN"/>
        </w:rPr>
        <w:t>。例如，“</w:t>
      </w:r>
      <w:r>
        <w:t>真正的知识是不变的真理，具有普遍性、必然性和有效性；知识的学习是个体对知识客观意义的外部领受</w:t>
      </w:r>
      <w:r>
        <w:rPr>
          <w:lang w:eastAsia="zh-CN"/>
        </w:rPr>
        <w:t>”</w:t>
      </w:r>
      <w:r>
        <w:rPr>
          <w:vertAlign w:val="superscript"/>
          <w:lang w:val="en-US" w:eastAsia="zh-CN"/>
        </w:rPr>
        <w:t>[16]</w:t>
      </w:r>
      <w:r>
        <w:rPr>
          <w:lang w:val="zh-CN"/>
        </w:rPr>
        <w:t>。</w:t>
      </w:r>
      <w:r>
        <w:t>受此影响，在督导过程中，许多督导者不自觉地或潜意识里认为自己所说的就是正确的、就是真理，而真理是不言自明的。这就意味着被督导者很难对其进行质疑，即使进行了质疑，也得不到应有的重视与回应，比如 A2和 A8坦言，</w:t>
      </w:r>
      <w:r>
        <w:rPr>
          <w:rFonts w:ascii="楷体" w:hAnsi="楷体" w:eastAsia="楷体"/>
          <w:i/>
          <w:lang w:eastAsia="zh-CN"/>
        </w:rPr>
        <w:t>“我们的督导老师不喜欢别人质疑他，更不喜欢别人插话，他说的事我们照着做就行了”。</w:t>
      </w:r>
      <w:r>
        <w:t>A5抱怨她和她的督导老师关系很“僵”，她认为是因为她喜欢和老师顶嘴。她说</w:t>
      </w:r>
      <w:r>
        <w:rPr>
          <w:rFonts w:ascii="楷体" w:hAnsi="楷体" w:eastAsia="楷体"/>
          <w:i/>
          <w:lang w:eastAsia="zh-CN"/>
        </w:rPr>
        <w:t>“我平时喜欢读书，也接触了很多的理论和知识，每次觉得老师讲得不对的时候只要一提出来，老师就面露愠色了”。</w:t>
      </w:r>
      <w:r>
        <w:t>共有6位被访者希望督导老师秉持着公平公正的态度，不因与被督导者之间的私人关系不好而影响其分数。</w:t>
      </w:r>
    </w:p>
    <w:p>
      <w:pPr>
        <w:pStyle w:val="21"/>
        <w:ind w:firstLine="420"/>
        <w:rPr>
          <w:rFonts w:hint="default" w:eastAsia="PMingLiU"/>
        </w:rPr>
      </w:pPr>
      <w:r>
        <w:t>为什么在督导过程中会出现诸如督导者拒斥真理的多元、抵制价值多维的</w:t>
      </w:r>
      <w:r>
        <w:rPr>
          <w:lang w:eastAsia="zh-CN"/>
        </w:rPr>
        <w:t>现象</w:t>
      </w:r>
      <w:r>
        <w:t>呢？笔者分析认为其主要</w:t>
      </w:r>
      <w:r>
        <w:rPr>
          <w:lang w:eastAsia="zh-CN"/>
        </w:rPr>
        <w:t>是受</w:t>
      </w:r>
      <w:r>
        <w:t>社会工作实习场域中的知识和价值结构</w:t>
      </w:r>
      <w:r>
        <w:rPr>
          <w:lang w:eastAsia="zh-CN"/>
        </w:rPr>
        <w:t>的</w:t>
      </w:r>
      <w:r>
        <w:t>影响。</w:t>
      </w:r>
      <w:r>
        <w:rPr>
          <w:lang w:eastAsia="zh-CN"/>
        </w:rPr>
        <w:t>因为实习督导过程</w:t>
      </w:r>
      <w:r>
        <w:t>仍然采用现代主义</w:t>
      </w:r>
      <w:r>
        <w:rPr>
          <w:lang w:eastAsia="zh-CN"/>
        </w:rPr>
        <w:t>即</w:t>
      </w:r>
      <w:r>
        <w:t>传统知识观的叙事方式，而</w:t>
      </w:r>
      <w:r>
        <w:rPr>
          <w:lang w:eastAsia="zh-CN"/>
        </w:rPr>
        <w:t>督导者</w:t>
      </w:r>
      <w:r>
        <w:t>作为这种知识结构的载体</w:t>
      </w:r>
      <w:r>
        <w:rPr>
          <w:lang w:eastAsia="zh-CN"/>
        </w:rPr>
        <w:t>，</w:t>
      </w:r>
      <w:r>
        <w:t>无可避免的带</w:t>
      </w:r>
      <w:r>
        <w:rPr>
          <w:lang w:eastAsia="zh-CN"/>
        </w:rPr>
        <w:t>有</w:t>
      </w:r>
      <w:r>
        <w:t>这种结构的思维方式，进而通过其行为外显，作用于被</w:t>
      </w:r>
      <w:r>
        <w:rPr>
          <w:lang w:val="zh-CN"/>
        </w:rPr>
        <w:t>督导</w:t>
      </w:r>
      <w:r>
        <w:t>者，从而产生后者的心理不适与困惑等问题。可以说，“问题”就是这样被建构出来的。</w:t>
      </w:r>
      <w:r>
        <w:rPr>
          <w:rFonts w:asciiTheme="minorEastAsia" w:hAnsiTheme="minorEastAsia" w:eastAsiaTheme="minorEastAsia"/>
        </w:rPr>
        <w:t>一方面，</w:t>
      </w:r>
      <w:r>
        <w:t>知识的价值是多维的</w:t>
      </w:r>
      <w:r>
        <w:rPr>
          <w:lang w:eastAsia="zh-CN"/>
        </w:rPr>
        <w:t>，</w:t>
      </w:r>
      <w:r>
        <w:rPr>
          <w:lang w:val="zh-CN"/>
        </w:rPr>
        <w:t>现</w:t>
      </w:r>
      <w:r>
        <w:t>有的</w:t>
      </w:r>
      <w:r>
        <w:rPr>
          <w:lang w:eastAsia="zh-CN"/>
        </w:rPr>
        <w:t>传统教学</w:t>
      </w:r>
      <w:r>
        <w:t>知识与价值结构</w:t>
      </w:r>
      <w:r>
        <w:rPr>
          <w:lang w:eastAsia="zh-CN"/>
        </w:rPr>
        <w:t>之所以存在也因其具有一定的实用价值。</w:t>
      </w:r>
      <w:r>
        <w:rPr>
          <w:lang w:val="zh-CN"/>
        </w:rPr>
        <w:t>例如，它</w:t>
      </w:r>
      <w:r>
        <w:t>保持</w:t>
      </w:r>
      <w:r>
        <w:rPr>
          <w:lang w:eastAsia="zh-CN"/>
        </w:rPr>
        <w:t>了督导者</w:t>
      </w:r>
      <w:r>
        <w:t>知识的稳定性和连贯性</w:t>
      </w:r>
      <w:r>
        <w:rPr>
          <w:lang w:eastAsia="zh-CN"/>
        </w:rPr>
        <w:t>；</w:t>
      </w:r>
      <w:r>
        <w:t>统一的标准、单一的知识传输方向，虽受诟病，但利于督导者</w:t>
      </w:r>
      <w:r>
        <w:rPr>
          <w:lang w:eastAsia="zh-CN"/>
        </w:rPr>
        <w:t>掌握督导的</w:t>
      </w:r>
      <w:r>
        <w:t>节奏，减少因不同诠释而带来的争议。</w:t>
      </w:r>
      <w:r>
        <w:rPr>
          <w:lang w:eastAsia="zh-CN"/>
        </w:rPr>
        <w:t>另一方面，社会工作实习场域中的</w:t>
      </w:r>
      <w:r>
        <w:t>知识</w:t>
      </w:r>
      <w:r>
        <w:rPr>
          <w:lang w:eastAsia="zh-CN"/>
        </w:rPr>
        <w:t>和技能</w:t>
      </w:r>
      <w:r>
        <w:t>是由人们基于以往的经验不断构造出来的，随着历史的发展，其始终处于构造</w:t>
      </w:r>
      <w:r>
        <w:rPr>
          <w:lang w:eastAsia="zh-CN"/>
        </w:rPr>
        <w:t>之</w:t>
      </w:r>
      <w:r>
        <w:t>中</w:t>
      </w:r>
      <w:r>
        <w:rPr>
          <w:lang w:eastAsia="zh-CN"/>
        </w:rPr>
        <w:t>，所以</w:t>
      </w:r>
      <w:r>
        <w:t>它是开放的，任何人都可以获取</w:t>
      </w:r>
      <w:r>
        <w:rPr>
          <w:lang w:eastAsia="zh-CN"/>
        </w:rPr>
        <w:t>。因此，在督导过程中，督导者不应仅仅进行填鸭式的传授知识，而应让被督导者学会创造和内化知识。</w:t>
      </w:r>
    </w:p>
    <w:p>
      <w:pPr>
        <w:pStyle w:val="22"/>
        <w:ind w:firstLine="422"/>
        <w:rPr>
          <w:lang w:val="zh-TW"/>
        </w:rPr>
      </w:pPr>
      <w:r>
        <w:rPr>
          <w:lang w:val="zh-TW" w:eastAsia="zh-TW"/>
        </w:rPr>
        <w:t>（二）第二读：对现有督导角色文本的解构</w:t>
      </w:r>
    </w:p>
    <w:p>
      <w:pPr>
        <w:pStyle w:val="21"/>
        <w:ind w:firstLine="420"/>
        <w:rPr>
          <w:rFonts w:hint="default"/>
          <w:lang w:eastAsia="zh-CN"/>
        </w:rPr>
      </w:pPr>
      <w:r>
        <w:rPr>
          <w:rFonts w:ascii="宋体" w:hAnsi="宋体" w:cs="宋体"/>
          <w:lang w:val="en-US" w:eastAsia="zh-CN"/>
        </w:rPr>
        <w:t>1.</w:t>
      </w:r>
      <w:r>
        <w:t>社会工作实习场域中的知识与权力</w:t>
      </w:r>
    </w:p>
    <w:p>
      <w:pPr>
        <w:pStyle w:val="21"/>
        <w:ind w:firstLine="420"/>
        <w:rPr>
          <w:rFonts w:hint="default"/>
        </w:rPr>
      </w:pPr>
      <w:r>
        <w:t>尽管当前社会工作实习场域中的知识与权力有其合理性的一面，但这并不意味着其在未来也一样具有合理性。“督导者—被督导者”作为一组关系，在理论上不存在一方对另一方的优势。正如前</w:t>
      </w:r>
      <w:r>
        <w:rPr>
          <w:lang w:val="zh-CN"/>
        </w:rPr>
        <w:t>文</w:t>
      </w:r>
      <w:r>
        <w:t>所述，督导者在</w:t>
      </w:r>
      <w:r>
        <w:rPr>
          <w:lang w:eastAsia="zh-CN"/>
        </w:rPr>
        <w:t>诸多</w:t>
      </w:r>
      <w:r>
        <w:t>因素的共同作用下，产生了相对于</w:t>
      </w:r>
      <w:r>
        <w:rPr>
          <w:lang w:val="zh-CN"/>
        </w:rPr>
        <w:t>被督导</w:t>
      </w:r>
      <w:r>
        <w:t>者的优势。这种优势看似顺理成章，但是否合理却</w:t>
      </w:r>
      <w:r>
        <w:rPr>
          <w:lang w:val="zh-CN"/>
        </w:rPr>
        <w:t>有</w:t>
      </w:r>
      <w:r>
        <w:t>待商榷。</w:t>
      </w:r>
    </w:p>
    <w:p>
      <w:pPr>
        <w:pStyle w:val="21"/>
        <w:ind w:firstLine="420"/>
        <w:rPr>
          <w:rFonts w:hint="default"/>
        </w:rPr>
      </w:pPr>
      <w:r>
        <w:t>首先，知识是否能带来权力</w:t>
      </w:r>
      <w:r>
        <w:rPr>
          <w:lang w:val="zh-CN"/>
        </w:rPr>
        <w:t>？</w:t>
      </w:r>
      <w:r>
        <w:t>督导者因</w:t>
      </w:r>
      <w:r>
        <w:rPr>
          <w:lang w:eastAsia="zh-CN"/>
        </w:rPr>
        <w:t>具有丰富的</w:t>
      </w:r>
      <w:r>
        <w:t>知识和技能，</w:t>
      </w:r>
      <w:r>
        <w:rPr>
          <w:lang w:eastAsia="zh-CN"/>
        </w:rPr>
        <w:t>从</w:t>
      </w:r>
      <w:r>
        <w:t>而获得了支配被</w:t>
      </w:r>
      <w:r>
        <w:rPr>
          <w:lang w:val="zh-CN"/>
        </w:rPr>
        <w:t>督导</w:t>
      </w:r>
      <w:r>
        <w:t>者的权力，但是这两者之间是否有真正的因果</w:t>
      </w:r>
      <w:r>
        <w:rPr>
          <w:lang w:eastAsia="zh-CN"/>
        </w:rPr>
        <w:t>关联</w:t>
      </w:r>
      <w:r>
        <w:rPr>
          <w:lang w:val="zh-CN"/>
        </w:rPr>
        <w:t>呢</w:t>
      </w:r>
      <w:r>
        <w:t>？答案是否定的。知识是开放的</w:t>
      </w:r>
      <w:r>
        <w:rPr>
          <w:lang w:eastAsia="zh-CN"/>
        </w:rPr>
        <w:t>，</w:t>
      </w:r>
      <w:r>
        <w:t>每个人都可以获取</w:t>
      </w:r>
      <w:r>
        <w:rPr>
          <w:lang w:eastAsia="zh-CN"/>
        </w:rPr>
        <w:t>和创造</w:t>
      </w:r>
      <w:r>
        <w:t>，都可以宣</w:t>
      </w:r>
      <w:r>
        <w:rPr>
          <w:lang w:eastAsia="zh-CN"/>
        </w:rPr>
        <w:t>称</w:t>
      </w:r>
      <w:r>
        <w:t>自己的知识即为</w:t>
      </w:r>
      <w:r>
        <w:rPr>
          <w:lang w:eastAsia="zh-CN"/>
        </w:rPr>
        <w:t>“</w:t>
      </w:r>
      <w:r>
        <w:t>真理</w:t>
      </w:r>
      <w:r>
        <w:rPr>
          <w:lang w:eastAsia="zh-CN"/>
        </w:rPr>
        <w:t>”</w:t>
      </w:r>
      <w:r>
        <w:t>。但不是每个人的“真理”都会得到公认，</w:t>
      </w:r>
      <w:r>
        <w:rPr>
          <w:lang w:val="zh-CN"/>
        </w:rPr>
        <w:t>因此</w:t>
      </w:r>
      <w:r>
        <w:t>，才有所谓的真理是群体共同建构的。</w:t>
      </w:r>
    </w:p>
    <w:p>
      <w:pPr>
        <w:pStyle w:val="21"/>
        <w:ind w:firstLine="420"/>
        <w:rPr>
          <w:rFonts w:hint="default"/>
        </w:rPr>
      </w:pPr>
      <w:r>
        <w:t>其次，</w:t>
      </w:r>
      <w:r>
        <w:rPr>
          <w:lang w:val="zh-CN"/>
        </w:rPr>
        <w:t>知识建构的过程是否正义？</w:t>
      </w:r>
      <w:r>
        <w:t>在社会工作的实习中，督导者所拥有的关于实习的知识、技能和规则等，其建构过程在被</w:t>
      </w:r>
      <w:r>
        <w:rPr>
          <w:lang w:val="zh-CN"/>
        </w:rPr>
        <w:t>督导</w:t>
      </w:r>
      <w:r>
        <w:t>者参与到</w:t>
      </w:r>
      <w:r>
        <w:rPr>
          <w:lang w:val="zh-CN"/>
        </w:rPr>
        <w:t>该</w:t>
      </w:r>
      <w:r>
        <w:t>场域中之前就已经完成了。或者可以说，被</w:t>
      </w:r>
      <w:r>
        <w:rPr>
          <w:lang w:val="zh-CN"/>
        </w:rPr>
        <w:t>督导</w:t>
      </w:r>
      <w:r>
        <w:t>者是被排除在这一建构过程之外的，这就从根本上形成了对被督导者不利的知识结构和关系格局，而这经过时间的固化后，很自然的被认为是督导者的权力，似乎是一开始就具有的那样</w:t>
      </w:r>
      <w:r>
        <w:rPr>
          <w:lang w:eastAsia="zh-CN"/>
        </w:rPr>
        <w:t>，事实上这</w:t>
      </w:r>
      <w:r>
        <w:t>是未经另一方同意的一种强制。因此，这一知识的建构过程也就丧失了基本的正义。</w:t>
      </w:r>
    </w:p>
    <w:p>
      <w:pPr>
        <w:pStyle w:val="21"/>
        <w:ind w:firstLine="420"/>
        <w:rPr>
          <w:rFonts w:hint="default"/>
          <w:lang w:eastAsia="zh-CN"/>
        </w:rPr>
      </w:pPr>
      <w:r>
        <w:t>最后，督导者—被督导者这对关系是否</w:t>
      </w:r>
      <w:r>
        <w:rPr>
          <w:lang w:val="zh-CN"/>
        </w:rPr>
        <w:t>应该</w:t>
      </w:r>
      <w:r>
        <w:t>成为权力关系</w:t>
      </w:r>
      <w:r>
        <w:rPr>
          <w:lang w:val="zh-CN"/>
        </w:rPr>
        <w:t>？</w:t>
      </w:r>
      <w:r>
        <w:t>社会工作作为一门人文性很强的学科，始终主张人与人之间的平等，这也是后现代主义所主张的</w:t>
      </w:r>
      <w:r>
        <w:rPr>
          <w:lang w:val="zh-CN"/>
        </w:rPr>
        <w:t>。</w:t>
      </w:r>
      <w:r>
        <w:t>因而双方之间的关系不</w:t>
      </w:r>
      <w:r>
        <w:rPr>
          <w:lang w:eastAsia="zh-CN"/>
        </w:rPr>
        <w:t>应该</w:t>
      </w:r>
      <w:r>
        <w:t>成为一种权力或权威等级关系。</w:t>
      </w:r>
      <w:r>
        <w:rPr>
          <w:lang w:val="zh-CN"/>
        </w:rPr>
        <w:t>这从某种意义上</w:t>
      </w:r>
      <w:r>
        <w:t>削弱了在现实中存在于双方</w:t>
      </w:r>
      <w:r>
        <w:rPr>
          <w:lang w:val="zh-CN"/>
        </w:rPr>
        <w:t>之间</w:t>
      </w:r>
      <w:r>
        <w:t>的权力关系或支配—从属关系的合法性</w:t>
      </w:r>
      <w:r>
        <w:rPr>
          <w:lang w:val="zh-CN"/>
        </w:rPr>
        <w:t>，加强了“督导者—被督导者”之间建立平等的对话关系的可能性和必要性。</w:t>
      </w:r>
      <w:r>
        <w:t>正如</w:t>
      </w:r>
      <w:r>
        <w:rPr>
          <w:lang w:eastAsia="zh-CN"/>
        </w:rPr>
        <w:t>弗莱雷（</w:t>
      </w:r>
      <w:r>
        <w:rPr>
          <w:lang w:val="en-US" w:eastAsia="zh-CN"/>
        </w:rPr>
        <w:t>Freire Paulo</w:t>
      </w:r>
      <w:r>
        <w:rPr>
          <w:lang w:eastAsia="zh-CN"/>
        </w:rPr>
        <w:t>）</w:t>
      </w:r>
      <w:r>
        <w:t>描述的那样</w:t>
      </w:r>
      <w:r>
        <w:rPr>
          <w:lang w:eastAsia="zh-CN"/>
        </w:rPr>
        <w:t>：“</w:t>
      </w:r>
      <w:r>
        <w:t>通过对话，学生的老师和老师的学生之类的概念不复存在，一个新名词产生了，即作为老师的学生或作为学生的老师。在对话过程中教师的身份持续发生变化，时而作为一个教师，时而作为一个与学生聆听教诲的求知者。学生也是如此。他们共同对求知过程负责</w:t>
      </w:r>
      <w:r>
        <w:rPr>
          <w:lang w:eastAsia="zh-CN"/>
        </w:rPr>
        <w:t>”</w:t>
      </w:r>
      <w:r>
        <w:rPr>
          <w:vertAlign w:val="superscript"/>
          <w:lang w:val="en-US" w:eastAsia="zh-CN"/>
        </w:rPr>
        <w:t>[17]</w:t>
      </w:r>
      <w:r>
        <w:rPr>
          <w:lang w:eastAsia="zh-CN"/>
        </w:rPr>
        <w:t>。</w:t>
      </w:r>
    </w:p>
    <w:p>
      <w:pPr>
        <w:pStyle w:val="21"/>
        <w:ind w:firstLine="420"/>
        <w:rPr>
          <w:rFonts w:hint="default" w:eastAsia="PMingLiU"/>
        </w:rPr>
      </w:pPr>
      <w:r>
        <w:rPr>
          <w:rFonts w:ascii="宋体" w:hAnsi="宋体" w:cs="宋体"/>
          <w:lang w:val="en-US" w:eastAsia="zh-CN"/>
        </w:rPr>
        <w:t>2.社</w:t>
      </w:r>
      <w:r>
        <w:t>会工作实习场域中的知识与价值</w:t>
      </w:r>
    </w:p>
    <w:p>
      <w:pPr>
        <w:pStyle w:val="21"/>
        <w:ind w:firstLine="420"/>
        <w:rPr>
          <w:rFonts w:hint="default"/>
        </w:rPr>
      </w:pPr>
      <w:r>
        <w:t>在现有的教学体系里，</w:t>
      </w:r>
      <w:r>
        <w:rPr>
          <w:lang w:eastAsia="zh-CN"/>
        </w:rPr>
        <w:t>督导者</w:t>
      </w:r>
      <w:r>
        <w:t>都是</w:t>
      </w:r>
      <w:r>
        <w:rPr>
          <w:lang w:val="zh-CN"/>
        </w:rPr>
        <w:t>被督导</w:t>
      </w:r>
      <w:r>
        <w:t>者在专业实习这门课程上最终学习成绩的评估者。而督导者在评估被督导者实习成绩时，统一按照研究生部的考核标准来执行，比如看被督导者在实习过程中的组织协调能力、管理能力、实务技巧等，采用</w:t>
      </w:r>
      <w:r>
        <w:rPr>
          <w:lang w:eastAsia="zh-CN"/>
        </w:rPr>
        <w:t>“</w:t>
      </w:r>
      <w:r>
        <w:t>同质的平等观</w:t>
      </w:r>
      <w:r>
        <w:rPr>
          <w:lang w:eastAsia="zh-CN"/>
        </w:rPr>
        <w:t>”</w:t>
      </w:r>
      <w:r>
        <w:t>来衡量被督导者在专业实习这门课上应获得</w:t>
      </w:r>
      <w:r>
        <w:rPr>
          <w:lang w:eastAsia="zh-CN"/>
        </w:rPr>
        <w:t>的</w:t>
      </w:r>
      <w:r>
        <w:t>分数。在“以分数论英雄”的社会大环境下，</w:t>
      </w:r>
      <w:r>
        <w:rPr>
          <w:lang w:val="zh-CN"/>
        </w:rPr>
        <w:t>被督导者</w:t>
      </w:r>
      <w:r>
        <w:t>必然</w:t>
      </w:r>
      <w:r>
        <w:rPr>
          <w:lang w:eastAsia="zh-CN"/>
        </w:rPr>
        <w:t>会</w:t>
      </w:r>
      <w:r>
        <w:t>想方设法博督导者欢心，以求实习结束后获得一个满意的分数。后现代主义反对这种过分强调统一性的评定方法，认为该方法没有</w:t>
      </w:r>
      <w:bookmarkStart w:id="0" w:name="_Hlk4270971"/>
      <w:r>
        <w:t>看到被督导者的多样性</w:t>
      </w:r>
      <w:bookmarkEnd w:id="0"/>
      <w:r>
        <w:t>。其强调保护被督导者的差异性和多样性，主张去权威、去中心化，反对追求共识和统一的标准，接受被督导者之间的差异。有5位受访者表示希望督导者看到被督导者之间的差异，不应该以相同的标准去衡量基础不同的被督导者。例如：</w:t>
      </w:r>
      <w:bookmarkStart w:id="1" w:name="_Hlk4270929"/>
      <w:r>
        <w:t>受访者</w:t>
      </w:r>
      <w:bookmarkEnd w:id="1"/>
      <w:r>
        <w:t>A4在访谈中说“</w:t>
      </w:r>
      <w:r>
        <w:rPr>
          <w:rFonts w:ascii="楷体" w:hAnsi="楷体" w:eastAsia="楷体"/>
          <w:i/>
          <w:lang w:eastAsia="zh-CN"/>
        </w:rPr>
        <w:t>希望督导老师在期末评定实习成绩时考虑学生在实习中所付出的努力，而不单看学生所表现出来的能力导致的结果</w:t>
      </w:r>
      <w:r>
        <w:t>”， 受访者A9也表示“</w:t>
      </w:r>
      <w:r>
        <w:rPr>
          <w:rFonts w:ascii="楷体" w:hAnsi="楷体" w:eastAsia="楷体"/>
          <w:i/>
          <w:lang w:eastAsia="zh-CN"/>
        </w:rPr>
        <w:t>不仅要看学生每周上交的周记写了什么，更要看学生在实习中真的做了什么</w:t>
      </w:r>
      <w:r>
        <w:t>”。由此可见，被督导者期待督导者看到被督导者的多样性，更多包容。</w:t>
      </w:r>
    </w:p>
    <w:p>
      <w:pPr>
        <w:pStyle w:val="21"/>
        <w:ind w:firstLine="420"/>
        <w:rPr>
          <w:rFonts w:hint="default" w:ascii="标楷" w:hAnsi="标楷" w:eastAsia="标楷" w:cs="标楷"/>
          <w:szCs w:val="24"/>
        </w:rPr>
      </w:pPr>
      <w:r>
        <w:t>知识与价值的关系和知识与权力的关系密切相关，那些真正掌握了知识的价值的人或群体往往被认为直接或间接的掌握了权力</w:t>
      </w:r>
      <w:r>
        <w:rPr>
          <w:lang w:eastAsia="zh-CN"/>
        </w:rPr>
        <w:t>。</w:t>
      </w:r>
      <w:r>
        <w:t>在社会工作专业实习督导过程中，督导者垄断知识的价值解释。这个结果的合理性值得商榷</w:t>
      </w:r>
      <w:r>
        <w:rPr>
          <w:lang w:eastAsia="zh-CN"/>
        </w:rPr>
        <w:t>，且</w:t>
      </w:r>
      <w:r>
        <w:t>单一</w:t>
      </w:r>
      <w:r>
        <w:rPr>
          <w:lang w:eastAsia="zh-CN"/>
        </w:rPr>
        <w:t>督导者的思维难免有局限性，</w:t>
      </w:r>
      <w:r>
        <w:t>容易把被督导者培养成非此即彼、非黑即白的二元思维，从而对内容丰富的世界文本进行简单粗暴的诠释</w:t>
      </w:r>
      <w:r>
        <w:rPr>
          <w:lang w:eastAsia="zh-CN"/>
        </w:rPr>
        <w:t>，而这会引起</w:t>
      </w:r>
      <w:r>
        <w:t>认知上的偏差</w:t>
      </w:r>
      <w:r>
        <w:rPr>
          <w:lang w:val="zh-CN"/>
        </w:rPr>
        <w:t>和</w:t>
      </w:r>
      <w:r>
        <w:t>误解，从而</w:t>
      </w:r>
      <w:r>
        <w:rPr>
          <w:lang w:val="zh-CN"/>
        </w:rPr>
        <w:t>引发各种</w:t>
      </w:r>
      <w:r>
        <w:t>矛盾与冲突。</w:t>
      </w:r>
      <w:r>
        <w:rPr>
          <w:lang w:val="zh-CN"/>
        </w:rPr>
        <w:t xml:space="preserve">    </w:t>
      </w:r>
      <w:r>
        <w:rPr>
          <w:rFonts w:ascii="标楷" w:hAnsi="标楷" w:eastAsia="标楷" w:cs="标楷"/>
          <w:szCs w:val="24"/>
          <w:lang w:val="zh-CN"/>
        </w:rPr>
        <w:t xml:space="preserve">              </w:t>
      </w:r>
    </w:p>
    <w:p>
      <w:pPr>
        <w:pStyle w:val="20"/>
        <w:ind w:firstLine="482"/>
        <w:rPr>
          <w:lang w:val="zh-TW" w:eastAsia="zh-TW"/>
        </w:rPr>
      </w:pPr>
      <w:r>
        <w:rPr>
          <w:rFonts w:hint="eastAsia"/>
          <w:lang w:val="zh-TW"/>
        </w:rPr>
        <w:t>六、</w:t>
      </w:r>
      <w:r>
        <w:rPr>
          <w:lang w:val="zh-TW" w:eastAsia="zh-TW"/>
        </w:rPr>
        <w:t>后现代主义</w:t>
      </w:r>
      <w:r>
        <w:rPr>
          <w:rFonts w:hint="eastAsia"/>
          <w:lang w:val="zh-TW"/>
        </w:rPr>
        <w:t>视阈</w:t>
      </w:r>
      <w:r>
        <w:rPr>
          <w:lang w:val="zh-TW" w:eastAsia="zh-TW"/>
        </w:rPr>
        <w:t>下</w:t>
      </w:r>
      <w:r>
        <w:rPr>
          <w:rFonts w:hint="eastAsia"/>
          <w:lang w:val="zh-TW" w:eastAsia="zh-TW"/>
        </w:rPr>
        <w:t>对实习</w:t>
      </w:r>
      <w:r>
        <w:rPr>
          <w:lang w:val="zh-TW" w:eastAsia="zh-TW"/>
        </w:rPr>
        <w:t>督导</w:t>
      </w:r>
      <w:r>
        <w:rPr>
          <w:rFonts w:hint="eastAsia"/>
          <w:lang w:val="zh-TW" w:eastAsia="zh-TW"/>
        </w:rPr>
        <w:t>老师</w:t>
      </w:r>
      <w:r>
        <w:rPr>
          <w:lang w:val="zh-TW" w:eastAsia="zh-TW"/>
        </w:rPr>
        <w:t>角色的建议</w:t>
      </w:r>
    </w:p>
    <w:p>
      <w:pPr>
        <w:pStyle w:val="21"/>
        <w:ind w:firstLine="420"/>
        <w:rPr>
          <w:rFonts w:hint="default"/>
        </w:rPr>
      </w:pPr>
      <w:r>
        <w:t>笔者在后现代主义理论</w:t>
      </w:r>
      <w:r>
        <w:rPr>
          <w:lang w:eastAsia="zh-CN"/>
        </w:rPr>
        <w:t>的</w:t>
      </w:r>
      <w:r>
        <w:t>指导下，从被督导者的角度出发，建议实习督导老师应扮演好以下四个角色。</w:t>
      </w:r>
    </w:p>
    <w:p>
      <w:pPr>
        <w:pStyle w:val="22"/>
        <w:numPr>
          <w:ilvl w:val="0"/>
          <w:numId w:val="7"/>
        </w:numPr>
        <w:ind w:firstLine="422"/>
        <w:rPr>
          <w:lang w:val="zh-TW" w:eastAsia="zh-TW"/>
        </w:rPr>
      </w:pPr>
      <w:r>
        <w:rPr>
          <w:lang w:val="zh-TW" w:eastAsia="zh-TW"/>
        </w:rPr>
        <w:t>适度距离的引导者</w:t>
      </w:r>
    </w:p>
    <w:p>
      <w:pPr>
        <w:pStyle w:val="21"/>
        <w:ind w:firstLine="420"/>
        <w:rPr>
          <w:rFonts w:hint="default"/>
        </w:rPr>
      </w:pPr>
      <w:r>
        <w:t>从后现代主义视角来看，社会工作专业实习督导的过程是为了</w:t>
      </w:r>
      <w:r>
        <w:rPr>
          <w:lang w:eastAsia="zh-CN"/>
        </w:rPr>
        <w:t>促进被督导者</w:t>
      </w:r>
      <w:r>
        <w:t>得到更好的发展、消解知识的权威和表达关怀。在这过程中，督导者—被督导者双方互为主体，持续进行思想上的交流。督导者不因为知识上的优势而凌驾于被督导者之上，不</w:t>
      </w:r>
      <w:r>
        <w:rPr>
          <w:lang w:eastAsia="zh-CN"/>
        </w:rPr>
        <w:t>再</w:t>
      </w:r>
      <w:r>
        <w:t>扮演</w:t>
      </w:r>
      <w:r>
        <w:rPr>
          <w:lang w:val="zh-CN"/>
        </w:rPr>
        <w:t>权威</w:t>
      </w:r>
      <w:r>
        <w:t>专家</w:t>
      </w:r>
      <w:r>
        <w:rPr>
          <w:lang w:val="zh-CN"/>
        </w:rPr>
        <w:t>的</w:t>
      </w:r>
      <w:r>
        <w:t>角色，而是作为引导者，引导被督导者将知识作为探究的起点，利用已有经验，结合被督导者的</w:t>
      </w:r>
      <w:r>
        <w:rPr>
          <w:lang w:val="zh-CN"/>
        </w:rPr>
        <w:t>个人</w:t>
      </w:r>
      <w:r>
        <w:t>意愿，对其进行适当的引导，</w:t>
      </w:r>
      <w:r>
        <w:rPr>
          <w:lang w:val="zh-CN"/>
        </w:rPr>
        <w:t>培养其</w:t>
      </w:r>
      <w:r>
        <w:t>对知识的鉴赏能力、判断能力和批判能力，满足</w:t>
      </w:r>
      <w:r>
        <w:rPr>
          <w:lang w:eastAsia="zh-CN"/>
        </w:rPr>
        <w:t>被督导者</w:t>
      </w:r>
      <w:r>
        <w:t>在实习过程中探索和创造知识的需求，进而提高</w:t>
      </w:r>
      <w:r>
        <w:rPr>
          <w:lang w:eastAsia="zh-CN"/>
        </w:rPr>
        <w:t>其</w:t>
      </w:r>
      <w:r>
        <w:t>自主创新</w:t>
      </w:r>
      <w:r>
        <w:rPr>
          <w:lang w:eastAsia="zh-CN"/>
        </w:rPr>
        <w:t>和</w:t>
      </w:r>
      <w:r>
        <w:t>自由探索的能力。</w:t>
      </w:r>
      <w:r>
        <w:rPr>
          <w:lang w:val="zh-CN"/>
        </w:rPr>
        <w:t>然而，</w:t>
      </w:r>
      <w:r>
        <w:t>督导者</w:t>
      </w:r>
      <w:r>
        <w:rPr>
          <w:lang w:val="zh-CN"/>
        </w:rPr>
        <w:t>在扮演</w:t>
      </w:r>
      <w:r>
        <w:t>引导者的角色</w:t>
      </w:r>
      <w:r>
        <w:rPr>
          <w:lang w:val="zh-CN"/>
        </w:rPr>
        <w:t>时，</w:t>
      </w:r>
      <w:r>
        <w:t>要</w:t>
      </w:r>
      <w:r>
        <w:rPr>
          <w:lang w:val="zh-CN"/>
        </w:rPr>
        <w:t>与被督导者</w:t>
      </w:r>
      <w:r>
        <w:t>保持适度的距离，</w:t>
      </w:r>
      <w:r>
        <w:rPr>
          <w:lang w:val="zh-CN"/>
        </w:rPr>
        <w:t>避免</w:t>
      </w:r>
      <w:r>
        <w:t>因</w:t>
      </w:r>
      <w:r>
        <w:rPr>
          <w:lang w:val="zh-CN"/>
        </w:rPr>
        <w:t>过于</w:t>
      </w:r>
      <w:r>
        <w:t>积极</w:t>
      </w:r>
      <w:r>
        <w:rPr>
          <w:lang w:val="zh-CN"/>
        </w:rPr>
        <w:t>和热情，反而给其</w:t>
      </w:r>
      <w:r>
        <w:t>造成</w:t>
      </w:r>
      <w:r>
        <w:rPr>
          <w:lang w:val="zh-CN"/>
        </w:rPr>
        <w:t>无形的</w:t>
      </w:r>
      <w:r>
        <w:t>压力。</w:t>
      </w:r>
    </w:p>
    <w:p>
      <w:pPr>
        <w:pStyle w:val="22"/>
        <w:ind w:firstLine="422"/>
        <w:rPr>
          <w:lang w:val="zh-TW" w:eastAsia="zh-TW"/>
        </w:rPr>
      </w:pPr>
      <w:r>
        <w:rPr>
          <w:lang w:val="zh-CN"/>
        </w:rPr>
        <w:t>（二）</w:t>
      </w:r>
      <w:bookmarkStart w:id="2" w:name="_Hlk4270592"/>
      <w:r>
        <w:rPr>
          <w:lang w:val="zh-TW" w:eastAsia="zh-TW"/>
        </w:rPr>
        <w:t>步调和谐的同行者</w:t>
      </w:r>
    </w:p>
    <w:bookmarkEnd w:id="2"/>
    <w:p>
      <w:pPr>
        <w:pStyle w:val="21"/>
        <w:ind w:firstLine="420"/>
        <w:rPr>
          <w:rFonts w:hint="default"/>
          <w:lang w:val="zh-CN"/>
        </w:rPr>
      </w:pPr>
      <w:r>
        <w:t>在</w:t>
      </w:r>
      <w:r>
        <w:rPr>
          <w:lang w:val="zh-CN"/>
        </w:rPr>
        <w:t>社会工作专业实习</w:t>
      </w:r>
      <w:r>
        <w:t>督导过程中，</w:t>
      </w:r>
      <w:r>
        <w:rPr>
          <w:lang w:eastAsia="zh-CN"/>
        </w:rPr>
        <w:t>后现代主义者提倡“督导者—被督导者”双方之间建立民主的教学观，</w:t>
      </w:r>
      <w:r>
        <w:t>即“</w:t>
      </w:r>
      <w:r>
        <w:rPr>
          <w:lang w:eastAsia="zh-CN"/>
        </w:rPr>
        <w:t>督导者—被督导者”之间建立民主平等，教学相长的教学氛围。在这过程中，督导者摒弃讲授式的教学，尊重被督导者在实习过程中的思维和发现，并鼓励其在实习中发现新知识，培养其独立、自主的学习能力。</w:t>
      </w:r>
      <w:r>
        <w:t>督导</w:t>
      </w:r>
      <w:r>
        <w:rPr>
          <w:lang w:val="zh-CN"/>
        </w:rPr>
        <w:t>者</w:t>
      </w:r>
      <w:r>
        <w:t>不再是凌驾于</w:t>
      </w:r>
      <w:r>
        <w:rPr>
          <w:lang w:val="zh-CN"/>
        </w:rPr>
        <w:t>被督导</w:t>
      </w:r>
      <w:r>
        <w:t>者之上的唯一权威，而是扮演</w:t>
      </w:r>
      <w:r>
        <w:rPr>
          <w:lang w:eastAsia="zh-CN"/>
        </w:rPr>
        <w:t>着被督导者在实习过程中</w:t>
      </w:r>
      <w:r>
        <w:t>的同行者</w:t>
      </w:r>
      <w:r>
        <w:rPr>
          <w:lang w:eastAsia="zh-CN"/>
        </w:rPr>
        <w:t>，</w:t>
      </w:r>
      <w:r>
        <w:t>做其良师益友，与其同行</w:t>
      </w:r>
      <w:r>
        <w:rPr>
          <w:lang w:eastAsia="zh-CN"/>
        </w:rPr>
        <w:t>。除此之外，“督导者—被督导者”之间互为主体，都是信息的发出者，这样的沟通模式更能满足</w:t>
      </w:r>
      <w:r>
        <w:t>双方在督导过程中进行民主、平等</w:t>
      </w:r>
      <w:r>
        <w:rPr>
          <w:lang w:eastAsia="zh-CN"/>
        </w:rPr>
        <w:t>的</w:t>
      </w:r>
      <w:r>
        <w:t>对话需求，通过对话，打破“</w:t>
      </w:r>
      <w:r>
        <w:rPr>
          <w:lang w:val="zh-CN"/>
        </w:rPr>
        <w:t>督导者</w:t>
      </w:r>
      <w:r>
        <w:t>—被</w:t>
      </w:r>
      <w:r>
        <w:rPr>
          <w:lang w:val="zh-CN"/>
        </w:rPr>
        <w:t>督导</w:t>
      </w:r>
      <w:r>
        <w:t>者”</w:t>
      </w:r>
      <w:r>
        <w:rPr>
          <w:lang w:eastAsia="zh-CN"/>
        </w:rPr>
        <w:t>之间的</w:t>
      </w:r>
      <w:r>
        <w:t>二元关系</w:t>
      </w:r>
      <w:r>
        <w:rPr>
          <w:lang w:val="zh-CN"/>
        </w:rPr>
        <w:t>，</w:t>
      </w:r>
      <w:r>
        <w:t>促</w:t>
      </w:r>
      <w:r>
        <w:rPr>
          <w:lang w:eastAsia="zh-CN"/>
        </w:rPr>
        <w:t>使双方</w:t>
      </w:r>
      <w:r>
        <w:t>之间的关系由</w:t>
      </w:r>
      <w:r>
        <w:rPr>
          <w:lang w:eastAsia="zh-CN"/>
        </w:rPr>
        <w:t>任务型</w:t>
      </w:r>
      <w:r>
        <w:t>向伙伴</w:t>
      </w:r>
      <w:r>
        <w:rPr>
          <w:lang w:eastAsia="zh-CN"/>
        </w:rPr>
        <w:t>型</w:t>
      </w:r>
      <w:r>
        <w:t>转变，让督导者从居高临下的教育者</w:t>
      </w:r>
      <w:r>
        <w:rPr>
          <w:lang w:eastAsia="zh-CN"/>
        </w:rPr>
        <w:t>角色</w:t>
      </w:r>
      <w:r>
        <w:rPr>
          <w:lang w:val="zh-CN"/>
        </w:rPr>
        <w:t>转变成被督导者实习过程中的同行者角色。</w:t>
      </w:r>
    </w:p>
    <w:p>
      <w:pPr>
        <w:pStyle w:val="22"/>
        <w:ind w:firstLine="422"/>
        <w:rPr>
          <w:lang w:val="zh-TW" w:eastAsia="zh-TW"/>
        </w:rPr>
      </w:pPr>
      <w:r>
        <w:rPr>
          <w:lang w:val="zh-CN"/>
        </w:rPr>
        <w:t>（三）</w:t>
      </w:r>
      <w:r>
        <w:rPr>
          <w:lang w:val="zh-TW" w:eastAsia="zh-TW"/>
        </w:rPr>
        <w:t>积极平等的对话者</w:t>
      </w:r>
    </w:p>
    <w:p>
      <w:pPr>
        <w:pStyle w:val="21"/>
        <w:ind w:firstLine="420"/>
        <w:rPr>
          <w:rFonts w:hint="default"/>
        </w:rPr>
      </w:pPr>
      <w:r>
        <w:rPr>
          <w:lang w:eastAsia="zh-CN"/>
        </w:rPr>
        <w:t>后现代主义的教育观鼓励“督导者—被督导者”双方发展一种民主、平等的对话关系，而</w:t>
      </w:r>
      <w:r>
        <w:t>传统的</w:t>
      </w:r>
      <w:r>
        <w:rPr>
          <w:lang w:eastAsia="zh-CN"/>
        </w:rPr>
        <w:t>督导</w:t>
      </w:r>
      <w:r>
        <w:t>关系是一种指令式的关系，即督导者结合专业教学要求和实际</w:t>
      </w:r>
      <w:r>
        <w:rPr>
          <w:lang w:val="zh-CN"/>
        </w:rPr>
        <w:t>实习</w:t>
      </w:r>
      <w:r>
        <w:t>时间，对</w:t>
      </w:r>
      <w:r>
        <w:rPr>
          <w:lang w:val="zh-CN"/>
        </w:rPr>
        <w:t>被督导者</w:t>
      </w:r>
      <w:r>
        <w:t>下达任务。在此过程中，督导者</w:t>
      </w:r>
      <w:r>
        <w:rPr>
          <w:lang w:eastAsia="zh-CN"/>
        </w:rPr>
        <w:t>绝大多数的指令都是以完成教学任务为中心，主观上或客观上都有可能难以</w:t>
      </w:r>
      <w:r>
        <w:t>考虑</w:t>
      </w:r>
      <w:r>
        <w:rPr>
          <w:lang w:val="zh-CN"/>
        </w:rPr>
        <w:t>被督导者</w:t>
      </w:r>
      <w:r>
        <w:t>的实际需求和</w:t>
      </w:r>
      <w:r>
        <w:rPr>
          <w:lang w:val="zh-CN"/>
        </w:rPr>
        <w:t>其自身的</w:t>
      </w:r>
      <w:r>
        <w:t>限制</w:t>
      </w:r>
      <w:r>
        <w:rPr>
          <w:lang w:eastAsia="zh-CN"/>
        </w:rPr>
        <w:t>。</w:t>
      </w:r>
      <w:r>
        <w:rPr>
          <w:lang w:val="zh-CN"/>
        </w:rPr>
        <w:t>因此</w:t>
      </w:r>
      <w:r>
        <w:t>，双方之间往往会形成或明或暗的张力</w:t>
      </w:r>
      <w:r>
        <w:rPr>
          <w:lang w:eastAsia="zh-CN"/>
        </w:rPr>
        <w:t>，具体可体现在被督导者私底下对督导者的不满和抱怨上。虽然这种不满和抱怨被控制在理性范围之内，但它还是在一定程度上阻碍了督导双方之间建立良好的督导关系。</w:t>
      </w:r>
      <w:r>
        <w:t>基于此，督导者要积极</w:t>
      </w:r>
      <w:r>
        <w:rPr>
          <w:lang w:eastAsia="zh-CN"/>
        </w:rPr>
        <w:t>平等</w:t>
      </w:r>
      <w:r>
        <w:rPr>
          <w:lang w:val="zh-CN"/>
        </w:rPr>
        <w:t>地</w:t>
      </w:r>
      <w:r>
        <w:t>与</w:t>
      </w:r>
      <w:r>
        <w:rPr>
          <w:lang w:val="zh-CN"/>
        </w:rPr>
        <w:t>被督导者</w:t>
      </w:r>
      <w:r>
        <w:t>展开对话，将</w:t>
      </w:r>
      <w:r>
        <w:rPr>
          <w:lang w:eastAsia="zh-CN"/>
        </w:rPr>
        <w:t>其</w:t>
      </w:r>
      <w:r>
        <w:t>放在</w:t>
      </w:r>
      <w:r>
        <w:rPr>
          <w:lang w:val="zh-CN"/>
        </w:rPr>
        <w:t>真正</w:t>
      </w:r>
      <w:r>
        <w:t>平等的位置</w:t>
      </w:r>
      <w:r>
        <w:rPr>
          <w:lang w:eastAsia="zh-CN"/>
        </w:rPr>
        <w:t>上。</w:t>
      </w:r>
      <w:r>
        <w:rPr>
          <w:lang w:val="zh-CN"/>
        </w:rPr>
        <w:t>通过对话，督导者可以</w:t>
      </w:r>
      <w:r>
        <w:t>了解</w:t>
      </w:r>
      <w:r>
        <w:rPr>
          <w:lang w:eastAsia="zh-CN"/>
        </w:rPr>
        <w:t>被督导者在实习过程中的真实感受、期待和</w:t>
      </w:r>
      <w:r>
        <w:t>想法，</w:t>
      </w:r>
      <w:r>
        <w:rPr>
          <w:lang w:eastAsia="zh-CN"/>
        </w:rPr>
        <w:t>并给予积极回应。</w:t>
      </w:r>
      <w:r>
        <w:rPr>
          <w:lang w:val="zh-CN"/>
        </w:rPr>
        <w:t>在此过程中，督导者不再是独裁的、专断的指令下达者，而是扮演着</w:t>
      </w:r>
      <w:r>
        <w:t>积极平等的对话者角色。</w:t>
      </w:r>
    </w:p>
    <w:p>
      <w:pPr>
        <w:pStyle w:val="22"/>
        <w:ind w:firstLine="422"/>
        <w:rPr>
          <w:lang w:val="zh-TW" w:eastAsia="zh-TW"/>
        </w:rPr>
      </w:pPr>
      <w:r>
        <w:rPr>
          <w:lang w:val="zh-CN"/>
        </w:rPr>
        <w:t>（四）</w:t>
      </w:r>
      <w:bookmarkStart w:id="3" w:name="_Hlk4270620"/>
      <w:r>
        <w:rPr>
          <w:lang w:val="zh-TW" w:eastAsia="zh-TW"/>
        </w:rPr>
        <w:t>公正包容的</w:t>
      </w:r>
      <w:bookmarkEnd w:id="3"/>
      <w:r>
        <w:rPr>
          <w:lang w:val="zh-TW" w:eastAsia="zh-TW"/>
        </w:rPr>
        <w:t>评</w:t>
      </w:r>
      <w:r>
        <w:rPr>
          <w:rFonts w:hint="eastAsia"/>
          <w:lang w:val="zh-TW"/>
        </w:rPr>
        <w:t>估</w:t>
      </w:r>
      <w:r>
        <w:rPr>
          <w:lang w:val="zh-TW" w:eastAsia="zh-TW"/>
        </w:rPr>
        <w:t>者</w:t>
      </w:r>
    </w:p>
    <w:p>
      <w:pPr>
        <w:pStyle w:val="21"/>
        <w:ind w:firstLine="420"/>
        <w:rPr>
          <w:rFonts w:hint="default" w:eastAsia="PMingLiU"/>
        </w:rPr>
      </w:pPr>
      <w:r>
        <w:t>在实习结束时，督导</w:t>
      </w:r>
      <w:r>
        <w:rPr>
          <w:lang w:val="zh-CN"/>
        </w:rPr>
        <w:t>者</w:t>
      </w:r>
      <w:r>
        <w:t>都要根据被督导</w:t>
      </w:r>
      <w:r>
        <w:rPr>
          <w:lang w:val="zh-CN"/>
        </w:rPr>
        <w:t>者</w:t>
      </w:r>
      <w:r>
        <w:t>的实习表现来为其评定一个合理的分数，扮演着评估者的角色。</w:t>
      </w:r>
      <w:r>
        <w:rPr>
          <w:lang w:val="zh-CN"/>
        </w:rPr>
        <w:t>在</w:t>
      </w:r>
      <w:r>
        <w:t>评估</w:t>
      </w:r>
      <w:r>
        <w:rPr>
          <w:lang w:val="zh-CN"/>
        </w:rPr>
        <w:t>被督导</w:t>
      </w:r>
      <w:r>
        <w:t>者的过程中，应大力提倡督导</w:t>
      </w:r>
      <w:r>
        <w:rPr>
          <w:lang w:val="zh-CN"/>
        </w:rPr>
        <w:t>者</w:t>
      </w:r>
      <w:r>
        <w:t>采用多元化的评价机制去评估</w:t>
      </w:r>
      <w:r>
        <w:rPr>
          <w:lang w:val="zh-CN"/>
        </w:rPr>
        <w:t>被督导</w:t>
      </w:r>
      <w:r>
        <w:t>者，充分考虑每个被督导者之间的差异性和独特性，做一个既公正又包容的督导老师。</w:t>
      </w:r>
    </w:p>
    <w:p>
      <w:pPr>
        <w:pStyle w:val="22"/>
        <w:ind w:firstLine="422"/>
        <w:rPr>
          <w:lang w:val="zh-TW" w:eastAsia="zh-TW"/>
        </w:rPr>
      </w:pPr>
      <w:r>
        <w:rPr>
          <w:lang w:val="zh-TW" w:eastAsia="zh-TW"/>
        </w:rPr>
        <w:t>参考文献：</w:t>
      </w:r>
    </w:p>
    <w:p>
      <w:pPr>
        <w:pStyle w:val="21"/>
        <w:numPr>
          <w:ilvl w:val="0"/>
          <w:numId w:val="8"/>
        </w:numPr>
        <w:ind w:firstLine="420"/>
        <w:rPr>
          <w:rFonts w:hint="default"/>
        </w:rPr>
      </w:pPr>
      <w:r>
        <w:rPr>
          <w:rFonts w:ascii="Arial" w:hAnsi="Arial" w:cs="Arial"/>
          <w:color w:val="333333"/>
          <w:shd w:val="clear" w:color="auto" w:fill="FFFFFF"/>
        </w:rPr>
        <w:t>蒋艳.反思社会工作实习中的督导[J].科技信息,2010</w:t>
      </w:r>
      <w:r>
        <w:rPr>
          <w:rFonts w:ascii="Arial" w:hAnsi="Arial" w:cs="Arial"/>
          <w:color w:val="333333"/>
          <w:shd w:val="clear" w:color="auto" w:fill="FFFFFF"/>
          <w:lang w:val="en-US" w:eastAsia="zh-CN"/>
        </w:rPr>
        <w:t>,</w:t>
      </w:r>
      <w:r>
        <w:rPr>
          <w:rFonts w:ascii="Arial" w:hAnsi="Arial" w:cs="Arial"/>
          <w:color w:val="333333"/>
          <w:shd w:val="clear" w:color="auto" w:fill="FFFFFF"/>
        </w:rPr>
        <w:t>(26):413.</w:t>
      </w:r>
    </w:p>
    <w:p>
      <w:pPr>
        <w:pStyle w:val="21"/>
        <w:numPr>
          <w:ilvl w:val="0"/>
          <w:numId w:val="8"/>
        </w:numPr>
        <w:ind w:firstLine="420"/>
        <w:rPr>
          <w:rFonts w:hint="default"/>
          <w:lang w:val="en-US" w:eastAsia="zh-CN"/>
        </w:rPr>
      </w:pPr>
      <w:r>
        <w:rPr>
          <w:rFonts w:ascii="Arial" w:hAnsi="Arial" w:cs="Arial"/>
          <w:color w:val="333333"/>
          <w:shd w:val="clear" w:color="auto" w:fill="FFFFFF"/>
        </w:rPr>
        <w:t>张婷婷.督导在社会工作专业实习教育中的本土化实践——以某次实习督导经历为例[J].社会工作(学术版),2011</w:t>
      </w:r>
      <w:r>
        <w:rPr>
          <w:rFonts w:ascii="Arial" w:hAnsi="Arial" w:cs="Arial"/>
          <w:color w:val="333333"/>
          <w:shd w:val="clear" w:color="auto" w:fill="FFFFFF"/>
          <w:lang w:val="en-US" w:eastAsia="zh-CN"/>
        </w:rPr>
        <w:t>,</w:t>
      </w:r>
      <w:r>
        <w:rPr>
          <w:rFonts w:ascii="Arial" w:hAnsi="Arial" w:cs="Arial"/>
          <w:color w:val="333333"/>
          <w:shd w:val="clear" w:color="auto" w:fill="FFFFFF"/>
        </w:rPr>
        <w:t>(10):67-69.</w:t>
      </w:r>
    </w:p>
    <w:p>
      <w:pPr>
        <w:pStyle w:val="21"/>
        <w:numPr>
          <w:ilvl w:val="0"/>
          <w:numId w:val="8"/>
        </w:numPr>
        <w:ind w:firstLine="420"/>
        <w:rPr>
          <w:rFonts w:hint="default"/>
          <w:lang w:val="en-US" w:eastAsia="zh-CN"/>
        </w:rPr>
      </w:pPr>
      <w:r>
        <w:rPr>
          <w:rFonts w:ascii="Arial" w:hAnsi="Arial" w:cs="Arial"/>
          <w:color w:val="333333"/>
          <w:shd w:val="clear" w:color="auto" w:fill="FFFFFF"/>
        </w:rPr>
        <w:t>姚进忠.社会工作实习督导模式的本土建构——批判教育学理念的引入[J].华东理工大学学报(社会科学版),2010,25(03):35-40.</w:t>
      </w:r>
    </w:p>
    <w:p>
      <w:pPr>
        <w:pStyle w:val="21"/>
        <w:numPr>
          <w:ilvl w:val="0"/>
          <w:numId w:val="8"/>
        </w:numPr>
        <w:ind w:firstLine="420"/>
        <w:rPr>
          <w:rFonts w:hint="default"/>
          <w:lang w:val="en-US" w:eastAsia="zh-CN"/>
        </w:rPr>
      </w:pPr>
      <w:r>
        <w:rPr>
          <w:rFonts w:ascii="Arial" w:hAnsi="Arial" w:cs="Arial"/>
          <w:color w:val="333333"/>
          <w:shd w:val="clear" w:color="auto" w:fill="FFFFFF"/>
        </w:rPr>
        <w:t>刘斌志,沈黎.社会工作督导反思:学习成为有效的社会工作督导老师[J].社会工作,2006</w:t>
      </w:r>
      <w:r>
        <w:rPr>
          <w:rFonts w:ascii="Arial" w:hAnsi="Arial" w:cs="Arial"/>
          <w:color w:val="333333"/>
          <w:shd w:val="clear" w:color="auto" w:fill="FFFFFF"/>
          <w:lang w:val="en-US" w:eastAsia="zh-CN"/>
        </w:rPr>
        <w:t>,</w:t>
      </w:r>
      <w:r>
        <w:rPr>
          <w:rFonts w:ascii="Arial" w:hAnsi="Arial" w:cs="Arial"/>
          <w:color w:val="333333"/>
          <w:shd w:val="clear" w:color="auto" w:fill="FFFFFF"/>
        </w:rPr>
        <w:t>(09):35-37.</w:t>
      </w:r>
    </w:p>
    <w:p>
      <w:pPr>
        <w:pStyle w:val="21"/>
        <w:numPr>
          <w:ilvl w:val="0"/>
          <w:numId w:val="8"/>
        </w:numPr>
        <w:ind w:firstLine="420"/>
        <w:rPr>
          <w:rFonts w:hint="default"/>
          <w:lang w:val="en-US" w:eastAsia="zh-CN"/>
        </w:rPr>
      </w:pPr>
      <w:r>
        <w:rPr>
          <w:rFonts w:ascii="Arial" w:hAnsi="Arial" w:cs="Arial"/>
          <w:color w:val="333333"/>
          <w:shd w:val="clear" w:color="auto" w:fill="FFFFFF"/>
        </w:rPr>
        <w:t>龚晓洁,丛晓峰.社会工作专业实习督导探究[J].工会论坛(山东省工会管理干部学院学报),2012,18(06):113-115.</w:t>
      </w:r>
    </w:p>
    <w:p>
      <w:pPr>
        <w:pStyle w:val="21"/>
        <w:numPr>
          <w:ilvl w:val="0"/>
          <w:numId w:val="8"/>
        </w:numPr>
        <w:ind w:firstLine="420"/>
        <w:rPr>
          <w:rFonts w:hint="default"/>
        </w:rPr>
      </w:pPr>
      <w:r>
        <w:t>赵成蓉.后现代视域中的大学生心理健康教育课程建构研究[D].山西</w:t>
      </w:r>
      <w:r>
        <w:rPr>
          <w:lang w:val="en-US" w:eastAsia="zh-CN"/>
        </w:rPr>
        <w:t>:</w:t>
      </w:r>
      <w:r>
        <w:t>山西师范大学</w:t>
      </w:r>
      <w:r>
        <w:rPr>
          <w:lang w:val="en-US" w:eastAsia="zh-CN"/>
        </w:rPr>
        <w:t>,</w:t>
      </w:r>
      <w:r>
        <w:t>2010</w:t>
      </w:r>
      <w:r>
        <w:rPr>
          <w:lang w:val="en-US" w:eastAsia="zh-CN"/>
        </w:rPr>
        <w:t>:5-7</w:t>
      </w:r>
      <w:r>
        <w:t>.</w:t>
      </w:r>
    </w:p>
    <w:p>
      <w:pPr>
        <w:pStyle w:val="21"/>
        <w:numPr>
          <w:ilvl w:val="0"/>
          <w:numId w:val="8"/>
        </w:numPr>
        <w:ind w:firstLine="420"/>
        <w:rPr>
          <w:rFonts w:hint="default"/>
        </w:rPr>
      </w:pPr>
      <w:r>
        <w:rPr>
          <w:rFonts w:ascii="Arial" w:hAnsi="Arial" w:cs="Arial"/>
          <w:color w:val="333333"/>
          <w:shd w:val="clear" w:color="auto" w:fill="FFFFFF"/>
        </w:rPr>
        <w:t>王帅,耿丹.后现代理路下教师角色重构的实践路径[J].教师发展研究,2018,2(01):84-90.</w:t>
      </w:r>
    </w:p>
    <w:p>
      <w:pPr>
        <w:pStyle w:val="21"/>
        <w:numPr>
          <w:ilvl w:val="0"/>
          <w:numId w:val="8"/>
        </w:numPr>
        <w:ind w:firstLine="420"/>
        <w:rPr>
          <w:rFonts w:hint="default"/>
        </w:rPr>
      </w:pPr>
      <w:r>
        <w:rPr>
          <w:rFonts w:ascii="Arial" w:hAnsi="Arial" w:cs="Arial"/>
          <w:color w:val="333333"/>
          <w:shd w:val="clear" w:color="auto" w:fill="FFFFFF"/>
        </w:rPr>
        <w:t>龚孟伟,陈晓端.后现代主义知识教学观：价值与局限[J].课程.教材.教法,2008</w:t>
      </w:r>
      <w:r>
        <w:rPr>
          <w:rFonts w:ascii="Arial" w:hAnsi="Arial" w:cs="Arial"/>
          <w:color w:val="333333"/>
          <w:shd w:val="clear" w:color="auto" w:fill="FFFFFF"/>
          <w:lang w:val="en-US" w:eastAsia="zh-CN"/>
        </w:rPr>
        <w:t>,</w:t>
      </w:r>
      <w:r>
        <w:rPr>
          <w:rFonts w:ascii="Arial" w:hAnsi="Arial" w:cs="Arial"/>
          <w:color w:val="333333"/>
          <w:shd w:val="clear" w:color="auto" w:fill="FFFFFF"/>
        </w:rPr>
        <w:t>(10):24-29.</w:t>
      </w:r>
    </w:p>
    <w:p>
      <w:pPr>
        <w:pStyle w:val="21"/>
        <w:numPr>
          <w:ilvl w:val="0"/>
          <w:numId w:val="8"/>
        </w:numPr>
        <w:ind w:firstLine="420"/>
        <w:rPr>
          <w:rFonts w:hint="default"/>
        </w:rPr>
      </w:pPr>
      <w:r>
        <w:rPr>
          <w:rFonts w:ascii="Arial" w:hAnsi="Arial" w:cs="Arial"/>
          <w:color w:val="333333"/>
          <w:shd w:val="clear" w:color="auto" w:fill="FFFFFF"/>
        </w:rPr>
        <w:t>余凯,徐辉.后现代主义与当代教育思潮引论[J].比较教育研究,1997</w:t>
      </w:r>
      <w:r>
        <w:rPr>
          <w:rFonts w:ascii="Arial" w:hAnsi="Arial" w:cs="Arial"/>
          <w:color w:val="333333"/>
          <w:shd w:val="clear" w:color="auto" w:fill="FFFFFF"/>
          <w:lang w:val="en-US" w:eastAsia="zh-CN"/>
        </w:rPr>
        <w:t>,</w:t>
      </w:r>
      <w:r>
        <w:rPr>
          <w:rFonts w:ascii="Arial" w:hAnsi="Arial" w:cs="Arial"/>
          <w:color w:val="333333"/>
          <w:shd w:val="clear" w:color="auto" w:fill="FFFFFF"/>
        </w:rPr>
        <w:t>(06):10-14.</w:t>
      </w:r>
    </w:p>
    <w:p>
      <w:pPr>
        <w:pStyle w:val="21"/>
        <w:numPr>
          <w:ilvl w:val="0"/>
          <w:numId w:val="8"/>
        </w:numPr>
        <w:ind w:firstLine="420"/>
        <w:rPr>
          <w:rFonts w:hint="default"/>
        </w:rPr>
      </w:pPr>
      <w:r>
        <w:t>姜丽清.后现代主义教育观与学生自主学习能力的培养[J].</w:t>
      </w:r>
      <w:r>
        <w:rPr>
          <w:lang w:eastAsia="zh-CN"/>
        </w:rPr>
        <w:t>中国多媒体与网络教学学报</w:t>
      </w:r>
      <w:r>
        <w:rPr>
          <w:lang w:val="en-US" w:eastAsia="zh-CN"/>
        </w:rPr>
        <w:t>(</w:t>
      </w:r>
      <w:r>
        <w:rPr>
          <w:lang w:eastAsia="zh-CN"/>
        </w:rPr>
        <w:t>电子版</w:t>
      </w:r>
      <w:r>
        <w:rPr>
          <w:lang w:val="en-US" w:eastAsia="zh-CN"/>
        </w:rPr>
        <w:t>),</w:t>
      </w:r>
      <w:r>
        <w:t>2017,</w:t>
      </w:r>
      <w:r>
        <w:rPr>
          <w:lang w:val="en-US" w:eastAsia="zh-CN"/>
        </w:rPr>
        <w:t>(05):</w:t>
      </w:r>
      <w:r>
        <w:t>298.</w:t>
      </w:r>
    </w:p>
    <w:p>
      <w:pPr>
        <w:pStyle w:val="21"/>
        <w:numPr>
          <w:ilvl w:val="0"/>
          <w:numId w:val="8"/>
        </w:numPr>
        <w:ind w:firstLine="420"/>
        <w:rPr>
          <w:rFonts w:hint="default"/>
        </w:rPr>
      </w:pPr>
      <w:r>
        <w:rPr>
          <w:rFonts w:ascii="Arial" w:hAnsi="Arial" w:cs="Arial"/>
          <w:color w:val="333333"/>
          <w:shd w:val="clear" w:color="auto" w:fill="FFFFFF"/>
        </w:rPr>
        <w:t>张洪英.从现代与后现代视角看学生辅导[J].安徽农业大学学报(社会科学版),2004</w:t>
      </w:r>
      <w:r>
        <w:rPr>
          <w:rFonts w:ascii="Arial" w:hAnsi="Arial" w:cs="Arial"/>
          <w:color w:val="333333"/>
          <w:shd w:val="clear" w:color="auto" w:fill="FFFFFF"/>
          <w:lang w:val="en-US" w:eastAsia="zh-CN"/>
        </w:rPr>
        <w:t>,</w:t>
      </w:r>
      <w:r>
        <w:rPr>
          <w:rFonts w:ascii="Arial" w:hAnsi="Arial" w:cs="Arial"/>
          <w:color w:val="333333"/>
          <w:shd w:val="clear" w:color="auto" w:fill="FFFFFF"/>
        </w:rPr>
        <w:t>(01):109-112.</w:t>
      </w:r>
    </w:p>
    <w:p>
      <w:pPr>
        <w:pStyle w:val="21"/>
        <w:numPr>
          <w:ilvl w:val="0"/>
          <w:numId w:val="8"/>
        </w:numPr>
        <w:ind w:firstLine="420"/>
        <w:rPr>
          <w:rFonts w:hint="default"/>
        </w:rPr>
      </w:pPr>
      <w:r>
        <w:t>项国雄.后现代主义视野中的教育[J].外国教育研究</w:t>
      </w:r>
      <w:r>
        <w:rPr>
          <w:lang w:val="en-US" w:eastAsia="zh-CN"/>
        </w:rPr>
        <w:t>,</w:t>
      </w:r>
      <w:r>
        <w:t>2005</w:t>
      </w:r>
      <w:r>
        <w:rPr>
          <w:lang w:val="en-US" w:eastAsia="zh-CN"/>
        </w:rPr>
        <w:t>,(07):</w:t>
      </w:r>
      <w:r>
        <w:t>1-5.</w:t>
      </w:r>
    </w:p>
    <w:p>
      <w:pPr>
        <w:pStyle w:val="21"/>
        <w:numPr>
          <w:ilvl w:val="0"/>
          <w:numId w:val="8"/>
        </w:numPr>
        <w:ind w:firstLine="420"/>
        <w:rPr>
          <w:rFonts w:hint="default"/>
        </w:rPr>
      </w:pPr>
      <w:r>
        <w:rPr>
          <w:rFonts w:ascii="Arial" w:hAnsi="Arial" w:cs="Arial"/>
          <w:color w:val="333333"/>
          <w:shd w:val="clear" w:color="auto" w:fill="FFFFFF"/>
        </w:rPr>
        <w:t>童敏.中国本土社会工作专业实践的基本处境及其督导者的基本角色[J].社会,2006</w:t>
      </w:r>
      <w:r>
        <w:rPr>
          <w:rFonts w:ascii="Arial" w:hAnsi="Arial" w:cs="Arial"/>
          <w:color w:val="333333"/>
          <w:shd w:val="clear" w:color="auto" w:fill="FFFFFF"/>
          <w:lang w:val="en-US" w:eastAsia="zh-CN"/>
        </w:rPr>
        <w:t>,</w:t>
      </w:r>
      <w:r>
        <w:rPr>
          <w:rFonts w:ascii="Arial" w:hAnsi="Arial" w:cs="Arial"/>
          <w:color w:val="333333"/>
          <w:shd w:val="clear" w:color="auto" w:fill="FFFFFF"/>
        </w:rPr>
        <w:t>(03):194-204+210.</w:t>
      </w:r>
    </w:p>
    <w:p>
      <w:pPr>
        <w:pStyle w:val="21"/>
        <w:numPr>
          <w:ilvl w:val="0"/>
          <w:numId w:val="8"/>
        </w:numPr>
        <w:ind w:firstLine="420"/>
        <w:rPr>
          <w:rFonts w:hint="default"/>
        </w:rPr>
      </w:pPr>
      <w:r>
        <w:rPr>
          <w:rFonts w:ascii="Arial" w:hAnsi="Arial" w:cs="Arial"/>
          <w:color w:val="333333"/>
          <w:shd w:val="clear" w:color="auto" w:fill="FFFFFF"/>
        </w:rPr>
        <w:t>张敏杰,倪婉红.社会工作实习联合督导浅析[J].社会工作(学术版),2011</w:t>
      </w:r>
      <w:r>
        <w:rPr>
          <w:rFonts w:ascii="Arial" w:hAnsi="Arial" w:cs="Arial"/>
          <w:color w:val="333333"/>
          <w:shd w:val="clear" w:color="auto" w:fill="FFFFFF"/>
          <w:lang w:val="en-US" w:eastAsia="zh-CN"/>
        </w:rPr>
        <w:t>,</w:t>
      </w:r>
      <w:r>
        <w:rPr>
          <w:rFonts w:ascii="Arial" w:hAnsi="Arial" w:cs="Arial"/>
          <w:color w:val="333333"/>
          <w:shd w:val="clear" w:color="auto" w:fill="FFFFFF"/>
        </w:rPr>
        <w:t>(01):59-62.</w:t>
      </w:r>
    </w:p>
    <w:p>
      <w:pPr>
        <w:pStyle w:val="21"/>
        <w:numPr>
          <w:ilvl w:val="0"/>
          <w:numId w:val="8"/>
        </w:numPr>
        <w:ind w:firstLine="420"/>
        <w:rPr>
          <w:rFonts w:hint="default"/>
        </w:rPr>
      </w:pPr>
      <w:r>
        <w:rPr>
          <w:rFonts w:ascii="Arial" w:hAnsi="Arial" w:cs="Arial"/>
          <w:color w:val="333333"/>
          <w:shd w:val="clear" w:color="auto" w:fill="FFFFFF"/>
        </w:rPr>
        <w:t>季钦.系统视角下社会工作实习督导模式的探讨[J].社会工作下半月(理论),2010</w:t>
      </w:r>
      <w:r>
        <w:rPr>
          <w:rFonts w:ascii="Arial" w:hAnsi="Arial" w:cs="Arial"/>
          <w:color w:val="333333"/>
          <w:shd w:val="clear" w:color="auto" w:fill="FFFFFF"/>
          <w:lang w:val="en-US" w:eastAsia="zh-CN"/>
        </w:rPr>
        <w:t>,</w:t>
      </w:r>
      <w:r>
        <w:rPr>
          <w:rFonts w:ascii="Arial" w:hAnsi="Arial" w:cs="Arial"/>
          <w:color w:val="333333"/>
          <w:shd w:val="clear" w:color="auto" w:fill="FFFFFF"/>
        </w:rPr>
        <w:t>(02):15-17.</w:t>
      </w:r>
    </w:p>
    <w:p>
      <w:pPr>
        <w:pStyle w:val="21"/>
        <w:numPr>
          <w:ilvl w:val="0"/>
          <w:numId w:val="8"/>
        </w:numPr>
        <w:ind w:firstLine="420"/>
        <w:rPr>
          <w:rFonts w:hint="default" w:ascii="微软雅黑" w:hAnsi="微软雅黑" w:eastAsia="微软雅黑" w:cs="微软雅黑"/>
          <w:color w:val="666666"/>
        </w:rPr>
      </w:pPr>
      <w:r>
        <w:rPr>
          <w:rFonts w:ascii="Arial" w:hAnsi="Arial" w:cs="Arial"/>
          <w:color w:val="333333"/>
          <w:shd w:val="clear" w:color="auto" w:fill="FFFFFF"/>
        </w:rPr>
        <w:t>赵月刚.赖欣巴哈对传统知识观的批判研究[J].自然辩证法研究,2014,30(08):33-39.</w:t>
      </w:r>
    </w:p>
    <w:p>
      <w:pPr>
        <w:pStyle w:val="21"/>
        <w:numPr>
          <w:ilvl w:val="0"/>
          <w:numId w:val="8"/>
        </w:numPr>
        <w:ind w:firstLine="420"/>
        <w:rPr>
          <w:rFonts w:hint="default"/>
        </w:rPr>
      </w:pPr>
      <w:r>
        <w:rPr>
          <w:rFonts w:ascii="微软雅黑" w:hAnsi="微软雅黑" w:eastAsia="微软雅黑" w:cs="微软雅黑"/>
          <w:shd w:val="clear" w:color="auto" w:fill="FFFFFF"/>
        </w:rPr>
        <w:t>F</w:t>
      </w:r>
      <w:r>
        <w:rPr>
          <w:rFonts w:ascii="微软雅黑" w:hAnsi="微软雅黑" w:eastAsia="微软雅黑" w:cs="微软雅黑"/>
          <w:shd w:val="clear" w:color="auto" w:fill="FFFFFF"/>
          <w:lang w:val="en-US" w:eastAsia="zh-CN"/>
        </w:rPr>
        <w:t>REIRE</w:t>
      </w:r>
      <w:r>
        <w:rPr>
          <w:rFonts w:ascii="微软雅黑" w:hAnsi="微软雅黑" w:eastAsia="微软雅黑" w:cs="微软雅黑"/>
          <w:shd w:val="clear" w:color="auto" w:fill="FFFFFF"/>
        </w:rPr>
        <w:t xml:space="preserve"> P . Pedagogy of the Oppresses[J]. New Zealand Nursing Journal Kai Tiaki, 2008, 68(7):14.</w:t>
      </w:r>
    </w:p>
    <w:p>
      <w:pPr>
        <w:pStyle w:val="21"/>
        <w:ind w:left="480" w:leftChars="200" w:firstLine="0" w:firstLineChars="0"/>
        <w:jc w:val="center"/>
        <w:rPr>
          <w:rFonts w:hint="default" w:ascii="微软雅黑" w:hAnsi="微软雅黑" w:eastAsia="微软雅黑" w:cs="微软雅黑"/>
          <w:shd w:val="clear" w:color="auto" w:fill="FFFFFF"/>
        </w:rPr>
      </w:pPr>
    </w:p>
    <w:p>
      <w:pPr>
        <w:pStyle w:val="21"/>
        <w:ind w:firstLine="0" w:firstLineChars="0"/>
        <w:rPr>
          <w:rFonts w:hint="default" w:ascii="微软雅黑" w:hAnsi="微软雅黑" w:eastAsia="PMingLiU" w:cs="微软雅黑"/>
          <w:shd w:val="clear" w:color="auto" w:fill="FFFFFF"/>
        </w:rPr>
      </w:pPr>
    </w:p>
    <w:p>
      <w:pPr>
        <w:pStyle w:val="21"/>
        <w:ind w:left="480" w:leftChars="200" w:firstLine="0" w:firstLineChars="0"/>
        <w:jc w:val="center"/>
        <w:rPr>
          <w:rFonts w:hint="default"/>
          <w:b/>
          <w:sz w:val="24"/>
        </w:rPr>
      </w:pPr>
      <w:r>
        <w:rPr>
          <w:rFonts w:hint="default"/>
          <w:b/>
          <w:sz w:val="24"/>
          <w:lang w:val="en-US" w:eastAsia="zh-CN"/>
        </w:rPr>
        <w:t>A Study</w:t>
      </w:r>
      <w:r>
        <w:rPr>
          <w:b/>
          <w:sz w:val="24"/>
        </w:rPr>
        <w:t xml:space="preserve"> on the Role of Social Work Practice Supervis</w:t>
      </w:r>
      <w:r>
        <w:rPr>
          <w:rFonts w:hint="default" w:eastAsia="PMingLiU"/>
          <w:b/>
          <w:sz w:val="24"/>
        </w:rPr>
        <w:t>ors</w:t>
      </w:r>
      <w:r>
        <w:rPr>
          <w:b/>
          <w:sz w:val="24"/>
        </w:rPr>
        <w:t xml:space="preserve"> u</w:t>
      </w:r>
      <w:r>
        <w:rPr>
          <w:rFonts w:hint="default" w:eastAsia="PMingLiU"/>
          <w:b/>
          <w:sz w:val="24"/>
        </w:rPr>
        <w:t>nder the Background</w:t>
      </w:r>
      <w:r>
        <w:rPr>
          <w:b/>
          <w:sz w:val="24"/>
        </w:rPr>
        <w:t xml:space="preserve"> of Postmodernism</w:t>
      </w:r>
    </w:p>
    <w:p>
      <w:pPr>
        <w:tabs>
          <w:tab w:val="left" w:pos="265"/>
        </w:tabs>
        <w:ind w:firstLine="0" w:firstLineChars="0"/>
        <w:jc w:val="center"/>
        <w:rPr>
          <w:b/>
          <w:szCs w:val="21"/>
          <w:lang w:eastAsia="zh-CN"/>
        </w:rPr>
      </w:pPr>
      <w:r>
        <w:rPr>
          <w:rFonts w:hint="eastAsia"/>
          <w:b/>
          <w:szCs w:val="21"/>
          <w:lang w:eastAsia="zh-CN"/>
        </w:rPr>
        <w:t>——</w:t>
      </w:r>
      <w:r>
        <w:rPr>
          <w:rFonts w:hint="eastAsia"/>
          <w:b/>
          <w:szCs w:val="21"/>
        </w:rPr>
        <w:t xml:space="preserve">From the </w:t>
      </w:r>
      <w:r>
        <w:rPr>
          <w:rFonts w:hint="eastAsia"/>
          <w:b/>
          <w:szCs w:val="21"/>
          <w:lang w:eastAsia="zh-CN"/>
        </w:rPr>
        <w:t>P</w:t>
      </w:r>
      <w:r>
        <w:rPr>
          <w:rFonts w:hint="eastAsia"/>
          <w:b/>
          <w:szCs w:val="21"/>
        </w:rPr>
        <w:t xml:space="preserve">erspective of </w:t>
      </w:r>
      <w:r>
        <w:rPr>
          <w:rFonts w:hint="eastAsia"/>
          <w:b/>
          <w:szCs w:val="21"/>
          <w:lang w:eastAsia="zh-CN"/>
        </w:rPr>
        <w:t>Supervise</w:t>
      </w:r>
      <w:r>
        <w:rPr>
          <w:b/>
          <w:szCs w:val="21"/>
        </w:rPr>
        <w:t>es</w:t>
      </w:r>
    </w:p>
    <w:p>
      <w:pPr>
        <w:tabs>
          <w:tab w:val="left" w:pos="265"/>
        </w:tabs>
        <w:ind w:firstLine="0" w:firstLineChars="0"/>
        <w:jc w:val="center"/>
        <w:rPr>
          <w:sz w:val="21"/>
          <w:szCs w:val="21"/>
        </w:rPr>
      </w:pPr>
      <w:r>
        <w:rPr>
          <w:rFonts w:hint="eastAsia"/>
          <w:sz w:val="21"/>
          <w:szCs w:val="21"/>
        </w:rPr>
        <w:t>C</w:t>
      </w:r>
      <w:r>
        <w:rPr>
          <w:rFonts w:hint="eastAsia"/>
          <w:sz w:val="21"/>
          <w:szCs w:val="21"/>
          <w:lang w:eastAsia="zh-CN"/>
        </w:rPr>
        <w:t>HEN</w:t>
      </w:r>
      <w:r>
        <w:rPr>
          <w:rFonts w:hint="eastAsia"/>
          <w:sz w:val="21"/>
          <w:szCs w:val="21"/>
        </w:rPr>
        <w:t xml:space="preserve"> Mao, L</w:t>
      </w:r>
      <w:r>
        <w:rPr>
          <w:rFonts w:hint="eastAsia"/>
          <w:sz w:val="21"/>
          <w:szCs w:val="21"/>
          <w:lang w:eastAsia="zh-CN"/>
        </w:rPr>
        <w:t>IN</w:t>
      </w:r>
      <w:r>
        <w:rPr>
          <w:rFonts w:hint="eastAsia"/>
          <w:sz w:val="21"/>
          <w:szCs w:val="21"/>
        </w:rPr>
        <w:t xml:space="preserve"> Xia</w:t>
      </w:r>
    </w:p>
    <w:p>
      <w:pPr>
        <w:tabs>
          <w:tab w:val="left" w:pos="265"/>
        </w:tabs>
        <w:ind w:firstLine="0" w:firstLineChars="0"/>
        <w:jc w:val="center"/>
        <w:rPr>
          <w:sz w:val="21"/>
          <w:szCs w:val="21"/>
        </w:rPr>
      </w:pPr>
      <w:r>
        <w:rPr>
          <w:rFonts w:hint="eastAsia"/>
          <w:sz w:val="21"/>
          <w:szCs w:val="21"/>
        </w:rPr>
        <w:t xml:space="preserve">(Beijing City </w:t>
      </w:r>
      <w:r>
        <w:rPr>
          <w:rFonts w:hint="eastAsia"/>
          <w:sz w:val="21"/>
          <w:szCs w:val="21"/>
          <w:lang w:eastAsia="zh-CN"/>
        </w:rPr>
        <w:t>University</w:t>
      </w:r>
      <w:r>
        <w:rPr>
          <w:rFonts w:hint="eastAsia"/>
          <w:sz w:val="21"/>
          <w:szCs w:val="21"/>
        </w:rPr>
        <w:t>, Beijing</w:t>
      </w:r>
      <w:r>
        <w:rPr>
          <w:sz w:val="21"/>
          <w:szCs w:val="21"/>
        </w:rPr>
        <w:t xml:space="preserve"> 100094, China</w:t>
      </w:r>
      <w:r>
        <w:rPr>
          <w:rFonts w:hint="eastAsia"/>
          <w:sz w:val="21"/>
          <w:szCs w:val="21"/>
        </w:rPr>
        <w:t>)</w:t>
      </w:r>
    </w:p>
    <w:p>
      <w:pPr>
        <w:tabs>
          <w:tab w:val="left" w:pos="265"/>
        </w:tabs>
        <w:ind w:firstLine="0" w:firstLineChars="0"/>
        <w:jc w:val="center"/>
        <w:rPr>
          <w:sz w:val="21"/>
          <w:szCs w:val="21"/>
        </w:rPr>
      </w:pPr>
    </w:p>
    <w:p>
      <w:pPr>
        <w:ind w:firstLine="413" w:firstLineChars="196"/>
        <w:jc w:val="both"/>
        <w:rPr>
          <w:sz w:val="21"/>
          <w:szCs w:val="21"/>
        </w:rPr>
      </w:pPr>
      <w:r>
        <w:rPr>
          <w:rFonts w:hint="eastAsia"/>
          <w:b/>
          <w:bCs/>
          <w:sz w:val="21"/>
          <w:szCs w:val="21"/>
        </w:rPr>
        <w:t>Abst</w:t>
      </w:r>
      <w:r>
        <w:rPr>
          <w:rFonts w:hint="eastAsia"/>
          <w:b/>
          <w:bCs/>
          <w:sz w:val="21"/>
          <w:szCs w:val="21"/>
          <w:lang w:eastAsia="zh-CN"/>
        </w:rPr>
        <w:t>r</w:t>
      </w:r>
      <w:r>
        <w:rPr>
          <w:rFonts w:hint="eastAsia"/>
          <w:b/>
          <w:bCs/>
          <w:sz w:val="21"/>
          <w:szCs w:val="21"/>
        </w:rPr>
        <w:t>act:</w:t>
      </w:r>
      <w:r>
        <w:rPr>
          <w:rFonts w:hint="eastAsia"/>
          <w:sz w:val="21"/>
          <w:szCs w:val="21"/>
        </w:rPr>
        <w:t xml:space="preserve"> </w:t>
      </w:r>
      <w:r>
        <w:rPr>
          <w:sz w:val="21"/>
          <w:szCs w:val="21"/>
        </w:rPr>
        <w:t>Due to the constraints of various historical and realistic conditions, the development of social work practice supervision has been lagging behind.</w:t>
      </w:r>
      <w:r>
        <w:rPr>
          <w:rFonts w:hint="eastAsia"/>
          <w:sz w:val="21"/>
          <w:szCs w:val="21"/>
        </w:rPr>
        <w:t xml:space="preserve"> </w:t>
      </w:r>
      <w:r>
        <w:rPr>
          <w:sz w:val="21"/>
          <w:szCs w:val="21"/>
        </w:rPr>
        <w:t>T</w:t>
      </w:r>
      <w:r>
        <w:rPr>
          <w:rFonts w:hint="eastAsia"/>
          <w:sz w:val="21"/>
          <w:szCs w:val="21"/>
        </w:rPr>
        <w:t>his study</w:t>
      </w:r>
      <w:r>
        <w:rPr>
          <w:sz w:val="21"/>
          <w:szCs w:val="21"/>
        </w:rPr>
        <w:t xml:space="preserve"> adopts</w:t>
      </w:r>
      <w:r>
        <w:rPr>
          <w:rFonts w:hint="eastAsia"/>
          <w:sz w:val="21"/>
          <w:szCs w:val="21"/>
        </w:rPr>
        <w:t xml:space="preserve"> postmodernis</w:t>
      </w:r>
      <w:r>
        <w:rPr>
          <w:sz w:val="21"/>
          <w:szCs w:val="21"/>
        </w:rPr>
        <w:t>m</w:t>
      </w:r>
      <w:r>
        <w:rPr>
          <w:rFonts w:hint="eastAsia"/>
          <w:sz w:val="21"/>
          <w:szCs w:val="21"/>
        </w:rPr>
        <w:t xml:space="preserve"> as an analytical tool, and</w:t>
      </w:r>
      <w:r>
        <w:rPr>
          <w:sz w:val="21"/>
          <w:szCs w:val="21"/>
        </w:rPr>
        <w:t xml:space="preserve"> takes</w:t>
      </w:r>
      <w:r>
        <w:rPr>
          <w:rFonts w:hint="eastAsia"/>
          <w:sz w:val="21"/>
          <w:szCs w:val="21"/>
        </w:rPr>
        <w:t xml:space="preserve"> the supervis</w:t>
      </w:r>
      <w:r>
        <w:rPr>
          <w:sz w:val="21"/>
          <w:szCs w:val="21"/>
        </w:rPr>
        <w:t>ion</w:t>
      </w:r>
      <w:r>
        <w:rPr>
          <w:rFonts w:hint="eastAsia"/>
          <w:sz w:val="21"/>
          <w:szCs w:val="21"/>
        </w:rPr>
        <w:t xml:space="preserve"> work of </w:t>
      </w:r>
      <w:r>
        <w:rPr>
          <w:sz w:val="21"/>
          <w:szCs w:val="21"/>
        </w:rPr>
        <w:t xml:space="preserve">2017 </w:t>
      </w:r>
      <w:r>
        <w:rPr>
          <w:rFonts w:hint="eastAsia"/>
          <w:sz w:val="21"/>
          <w:szCs w:val="21"/>
        </w:rPr>
        <w:t>MSW in B University as the subject</w:t>
      </w:r>
      <w:r>
        <w:rPr>
          <w:sz w:val="21"/>
          <w:szCs w:val="21"/>
        </w:rPr>
        <w:t xml:space="preserve">, in which the </w:t>
      </w:r>
      <w:r>
        <w:rPr>
          <w:rFonts w:hint="eastAsia"/>
          <w:sz w:val="21"/>
          <w:szCs w:val="21"/>
        </w:rPr>
        <w:t>supervise</w:t>
      </w:r>
      <w:r>
        <w:rPr>
          <w:sz w:val="21"/>
          <w:szCs w:val="21"/>
        </w:rPr>
        <w:t>es</w:t>
      </w:r>
      <w:r>
        <w:rPr>
          <w:rFonts w:hint="eastAsia"/>
          <w:sz w:val="21"/>
          <w:szCs w:val="21"/>
        </w:rPr>
        <w:t xml:space="preserve"> are selected by random sampling method and interviewed in depth. </w:t>
      </w:r>
      <w:r>
        <w:rPr>
          <w:sz w:val="21"/>
          <w:szCs w:val="21"/>
        </w:rPr>
        <w:t>F</w:t>
      </w:r>
      <w:r>
        <w:rPr>
          <w:rFonts w:hint="eastAsia"/>
          <w:sz w:val="21"/>
          <w:szCs w:val="21"/>
        </w:rPr>
        <w:t>rom the perspective of supervise</w:t>
      </w:r>
      <w:r>
        <w:rPr>
          <w:sz w:val="21"/>
          <w:szCs w:val="21"/>
        </w:rPr>
        <w:t xml:space="preserve">es, literatures about the relationship </w:t>
      </w:r>
      <w:r>
        <w:rPr>
          <w:rFonts w:hint="eastAsia"/>
          <w:sz w:val="21"/>
          <w:szCs w:val="21"/>
        </w:rPr>
        <w:t xml:space="preserve">between </w:t>
      </w:r>
      <w:r>
        <w:rPr>
          <w:sz w:val="21"/>
          <w:szCs w:val="21"/>
        </w:rPr>
        <w:t>“</w:t>
      </w:r>
      <w:r>
        <w:rPr>
          <w:rFonts w:hint="eastAsia"/>
          <w:sz w:val="21"/>
          <w:szCs w:val="21"/>
        </w:rPr>
        <w:t>supervisor and the supervise</w:t>
      </w:r>
      <w:r>
        <w:rPr>
          <w:sz w:val="21"/>
          <w:szCs w:val="21"/>
        </w:rPr>
        <w:t xml:space="preserve">e” during the working process is interpreted in double ways, and the relationship </w:t>
      </w:r>
      <w:r>
        <w:rPr>
          <w:rFonts w:hint="eastAsia"/>
          <w:sz w:val="21"/>
          <w:szCs w:val="21"/>
        </w:rPr>
        <w:t xml:space="preserve">between </w:t>
      </w:r>
      <w:r>
        <w:rPr>
          <w:sz w:val="21"/>
          <w:szCs w:val="21"/>
        </w:rPr>
        <w:t>“</w:t>
      </w:r>
      <w:r>
        <w:rPr>
          <w:rFonts w:hint="eastAsia"/>
          <w:sz w:val="21"/>
          <w:szCs w:val="21"/>
        </w:rPr>
        <w:t>supervisor and the supervise</w:t>
      </w:r>
      <w:r>
        <w:rPr>
          <w:sz w:val="21"/>
          <w:szCs w:val="21"/>
        </w:rPr>
        <w:t xml:space="preserve">e” is understood. It is concluded that </w:t>
      </w:r>
      <w:r>
        <w:rPr>
          <w:rFonts w:hint="eastAsia"/>
          <w:sz w:val="21"/>
          <w:szCs w:val="21"/>
        </w:rPr>
        <w:t xml:space="preserve">power relationship </w:t>
      </w:r>
      <w:r>
        <w:rPr>
          <w:sz w:val="21"/>
          <w:szCs w:val="21"/>
        </w:rPr>
        <w:t>problem</w:t>
      </w:r>
      <w:r>
        <w:rPr>
          <w:rFonts w:hint="eastAsia"/>
          <w:sz w:val="21"/>
          <w:szCs w:val="21"/>
        </w:rPr>
        <w:t xml:space="preserve"> </w:t>
      </w:r>
      <w:r>
        <w:rPr>
          <w:sz w:val="21"/>
          <w:szCs w:val="21"/>
        </w:rPr>
        <w:t xml:space="preserve">stems </w:t>
      </w:r>
      <w:r>
        <w:rPr>
          <w:rFonts w:hint="eastAsia"/>
          <w:sz w:val="21"/>
          <w:szCs w:val="21"/>
        </w:rPr>
        <w:t xml:space="preserve">from the unequal knowledge in the supervisory relationship, and the </w:t>
      </w:r>
      <w:r>
        <w:rPr>
          <w:sz w:val="21"/>
          <w:szCs w:val="21"/>
        </w:rPr>
        <w:t>“</w:t>
      </w:r>
      <w:r>
        <w:rPr>
          <w:rFonts w:hint="eastAsia"/>
          <w:sz w:val="21"/>
          <w:szCs w:val="21"/>
        </w:rPr>
        <w:t>cent</w:t>
      </w:r>
      <w:r>
        <w:rPr>
          <w:sz w:val="21"/>
          <w:szCs w:val="21"/>
        </w:rPr>
        <w:t>ral</w:t>
      </w:r>
      <w:r>
        <w:rPr>
          <w:rFonts w:hint="eastAsia"/>
          <w:sz w:val="21"/>
          <w:szCs w:val="21"/>
        </w:rPr>
        <w:t>-</w:t>
      </w:r>
      <w:r>
        <w:rPr>
          <w:sz w:val="21"/>
          <w:szCs w:val="21"/>
        </w:rPr>
        <w:t>marginal” pattern</w:t>
      </w:r>
      <w:r>
        <w:rPr>
          <w:rFonts w:hint="eastAsia"/>
          <w:sz w:val="21"/>
          <w:szCs w:val="21"/>
        </w:rPr>
        <w:t xml:space="preserve"> problem is formed </w:t>
      </w:r>
      <w:r>
        <w:rPr>
          <w:sz w:val="21"/>
          <w:szCs w:val="21"/>
        </w:rPr>
        <w:t>due to</w:t>
      </w:r>
      <w:r>
        <w:rPr>
          <w:rFonts w:hint="eastAsia"/>
          <w:sz w:val="21"/>
          <w:szCs w:val="21"/>
        </w:rPr>
        <w:t xml:space="preserve"> the unequal power. Guided by the theory of modernism, this paper proposes that p</w:t>
      </w:r>
      <w:r>
        <w:rPr>
          <w:sz w:val="21"/>
          <w:szCs w:val="21"/>
        </w:rPr>
        <w:t>ractice</w:t>
      </w:r>
      <w:r>
        <w:rPr>
          <w:rFonts w:hint="eastAsia"/>
          <w:sz w:val="21"/>
          <w:szCs w:val="21"/>
        </w:rPr>
        <w:t xml:space="preserve"> supervisor should play the proper role as a guide</w:t>
      </w:r>
      <w:r>
        <w:rPr>
          <w:sz w:val="21"/>
          <w:szCs w:val="21"/>
        </w:rPr>
        <w:t xml:space="preserve"> with moderate distance</w:t>
      </w:r>
      <w:r>
        <w:rPr>
          <w:rFonts w:hint="eastAsia"/>
          <w:sz w:val="21"/>
          <w:szCs w:val="21"/>
        </w:rPr>
        <w:t xml:space="preserve">, </w:t>
      </w:r>
      <w:r>
        <w:rPr>
          <w:sz w:val="21"/>
          <w:szCs w:val="21"/>
        </w:rPr>
        <w:t xml:space="preserve">a </w:t>
      </w:r>
      <w:r>
        <w:rPr>
          <w:rFonts w:hint="eastAsia"/>
          <w:sz w:val="21"/>
          <w:szCs w:val="21"/>
        </w:rPr>
        <w:t>peer</w:t>
      </w:r>
      <w:r>
        <w:rPr>
          <w:sz w:val="21"/>
          <w:szCs w:val="21"/>
        </w:rPr>
        <w:t xml:space="preserve"> with harmonious pace</w:t>
      </w:r>
      <w:r>
        <w:rPr>
          <w:rFonts w:hint="eastAsia"/>
          <w:sz w:val="21"/>
          <w:szCs w:val="21"/>
        </w:rPr>
        <w:t xml:space="preserve">, </w:t>
      </w:r>
      <w:r>
        <w:rPr>
          <w:sz w:val="21"/>
          <w:szCs w:val="21"/>
        </w:rPr>
        <w:t>an active and equal</w:t>
      </w:r>
      <w:r>
        <w:rPr>
          <w:rFonts w:hint="eastAsia"/>
          <w:sz w:val="21"/>
          <w:szCs w:val="21"/>
        </w:rPr>
        <w:t xml:space="preserve"> interlocutor and </w:t>
      </w:r>
      <w:r>
        <w:rPr>
          <w:sz w:val="21"/>
          <w:szCs w:val="21"/>
        </w:rPr>
        <w:t>an impartial and inclusive</w:t>
      </w:r>
      <w:r>
        <w:rPr>
          <w:rFonts w:hint="eastAsia"/>
          <w:sz w:val="21"/>
          <w:szCs w:val="21"/>
        </w:rPr>
        <w:t xml:space="preserve"> evaluator.</w:t>
      </w:r>
    </w:p>
    <w:p>
      <w:pPr>
        <w:ind w:firstLine="0" w:firstLineChars="0"/>
        <w:jc w:val="both"/>
        <w:rPr>
          <w:sz w:val="21"/>
          <w:szCs w:val="21"/>
        </w:rPr>
      </w:pPr>
      <w:r>
        <w:rPr>
          <w:rFonts w:hint="eastAsia"/>
          <w:b/>
          <w:bCs/>
          <w:sz w:val="21"/>
          <w:szCs w:val="21"/>
        </w:rPr>
        <w:t xml:space="preserve">Key </w:t>
      </w:r>
      <w:r>
        <w:rPr>
          <w:b/>
          <w:bCs/>
          <w:szCs w:val="21"/>
        </w:rPr>
        <w:t>w</w:t>
      </w:r>
      <w:r>
        <w:rPr>
          <w:rFonts w:hint="eastAsia"/>
          <w:b/>
          <w:bCs/>
          <w:sz w:val="21"/>
          <w:szCs w:val="21"/>
        </w:rPr>
        <w:t>ords:</w:t>
      </w:r>
      <w:r>
        <w:rPr>
          <w:rFonts w:hint="eastAsia"/>
          <w:sz w:val="21"/>
          <w:szCs w:val="21"/>
        </w:rPr>
        <w:t xml:space="preserve"> </w:t>
      </w:r>
      <w:r>
        <w:rPr>
          <w:rFonts w:hint="eastAsia"/>
          <w:sz w:val="21"/>
          <w:szCs w:val="21"/>
          <w:lang w:eastAsia="zh-CN"/>
        </w:rPr>
        <w:t>p</w:t>
      </w:r>
      <w:r>
        <w:rPr>
          <w:rFonts w:hint="eastAsia"/>
          <w:sz w:val="21"/>
          <w:szCs w:val="21"/>
        </w:rPr>
        <w:t xml:space="preserve">ostmodernism; </w:t>
      </w:r>
      <w:r>
        <w:rPr>
          <w:rFonts w:hint="eastAsia"/>
          <w:sz w:val="21"/>
          <w:szCs w:val="21"/>
          <w:lang w:eastAsia="zh-CN"/>
        </w:rPr>
        <w:t>s</w:t>
      </w:r>
      <w:r>
        <w:rPr>
          <w:rFonts w:hint="eastAsia"/>
          <w:sz w:val="21"/>
          <w:szCs w:val="21"/>
        </w:rPr>
        <w:t xml:space="preserve">upervisor; </w:t>
      </w:r>
      <w:r>
        <w:rPr>
          <w:rFonts w:hint="eastAsia"/>
          <w:sz w:val="21"/>
          <w:szCs w:val="21"/>
          <w:lang w:eastAsia="zh-CN"/>
        </w:rPr>
        <w:t>s</w:t>
      </w:r>
      <w:r>
        <w:rPr>
          <w:rFonts w:hint="eastAsia"/>
          <w:sz w:val="21"/>
          <w:szCs w:val="21"/>
        </w:rPr>
        <w:t>upervise</w:t>
      </w:r>
      <w:r>
        <w:rPr>
          <w:szCs w:val="21"/>
        </w:rPr>
        <w:t>e</w:t>
      </w:r>
      <w:r>
        <w:rPr>
          <w:rFonts w:hint="eastAsia"/>
          <w:sz w:val="21"/>
          <w:szCs w:val="21"/>
        </w:rPr>
        <w:t xml:space="preserve">; </w:t>
      </w:r>
      <w:r>
        <w:rPr>
          <w:rFonts w:hint="eastAsia"/>
          <w:sz w:val="21"/>
          <w:szCs w:val="21"/>
          <w:lang w:eastAsia="zh-CN"/>
        </w:rPr>
        <w:t>s</w:t>
      </w:r>
      <w:r>
        <w:rPr>
          <w:rFonts w:hint="eastAsia"/>
          <w:sz w:val="21"/>
          <w:szCs w:val="21"/>
        </w:rPr>
        <w:t xml:space="preserve">ocial </w:t>
      </w:r>
      <w:r>
        <w:rPr>
          <w:rFonts w:hint="eastAsia"/>
          <w:sz w:val="21"/>
          <w:szCs w:val="21"/>
          <w:lang w:eastAsia="zh-CN"/>
        </w:rPr>
        <w:t>w</w:t>
      </w:r>
      <w:r>
        <w:rPr>
          <w:rFonts w:hint="eastAsia"/>
          <w:sz w:val="21"/>
          <w:szCs w:val="21"/>
        </w:rPr>
        <w:t xml:space="preserve">ork </w:t>
      </w:r>
      <w:r>
        <w:rPr>
          <w:rFonts w:hint="eastAsia"/>
          <w:sz w:val="21"/>
          <w:szCs w:val="21"/>
          <w:lang w:eastAsia="zh-CN"/>
        </w:rPr>
        <w:t>p</w:t>
      </w:r>
      <w:r>
        <w:rPr>
          <w:rFonts w:hint="eastAsia"/>
          <w:sz w:val="21"/>
          <w:szCs w:val="21"/>
        </w:rPr>
        <w:t>ractice</w:t>
      </w:r>
    </w:p>
    <w:p>
      <w:pPr>
        <w:ind w:firstLine="0" w:firstLineChars="0"/>
        <w:jc w:val="both"/>
        <w:rPr>
          <w:sz w:val="21"/>
          <w:szCs w:val="21"/>
        </w:rPr>
      </w:pPr>
    </w:p>
    <w:p>
      <w:pPr>
        <w:ind w:firstLine="0" w:firstLineChars="0"/>
        <w:jc w:val="both"/>
        <w:rPr>
          <w:rFonts w:hint="eastAsia" w:eastAsia="宋体"/>
          <w:sz w:val="21"/>
          <w:szCs w:val="21"/>
          <w:lang w:eastAsia="zh-CN"/>
        </w:rPr>
      </w:pPr>
      <w:r>
        <w:rPr>
          <w:rFonts w:hint="eastAsia"/>
          <w:sz w:val="21"/>
          <w:szCs w:val="21"/>
          <w:lang w:eastAsia="zh-CN"/>
        </w:rPr>
        <w:t>（责任编辑：冀文彦</w:t>
      </w:r>
      <w:bookmarkStart w:id="4" w:name="_GoBack"/>
      <w:bookmarkEnd w:id="4"/>
      <w:r>
        <w:rPr>
          <w:rFonts w:hint="eastAsia"/>
          <w:sz w:val="21"/>
          <w:szCs w:val="21"/>
          <w:lang w:eastAsia="zh-CN"/>
        </w:rPr>
        <w:t>）</w:t>
      </w:r>
    </w:p>
    <w:sectPr>
      <w:headerReference r:id="rId6" w:type="first"/>
      <w:footerReference r:id="rId9" w:type="first"/>
      <w:headerReference r:id="rId4" w:type="default"/>
      <w:footerReference r:id="rId7" w:type="default"/>
      <w:headerReference r:id="rId5" w:type="even"/>
      <w:footerReference r:id="rId8" w:type="even"/>
      <w:endnotePr>
        <w:numFmt w:val="decimal"/>
      </w:endnotePr>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标楷">
    <w:altName w:val="Cambria"/>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crgbClr r="0" g="0" b="0"/>
                      </a:lnRef>
                      <a:fillRef idx="0">
                        <a:scrgbClr r="0" g="0" b="0"/>
                      </a:fillRef>
                      <a:effectRef idx="0">
                        <a:scrgbClr r="0" g="0" b="0"/>
                      </a:effectRef>
                      <a:fontRef idx="none"/>
                    </wps:style>
                    <wps:txbx>
                      <w:txbxContent>
                        <w:p>
                          <w:pPr>
                            <w:pStyle w:val="7"/>
                            <w:ind w:firstLine="360"/>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9</w:t>
                          </w:r>
                          <w:r>
                            <w:rPr>
                              <w:rFonts w:hint="eastAsia"/>
                              <w:lang w:eastAsia="zh-CN"/>
                            </w:rPr>
                            <w:fldChar w:fldCharType="end"/>
                          </w:r>
                        </w:p>
                      </w:txbxContent>
                    </wps:txbx>
                    <wps:bodyPr rot="0" spcFirstLastPara="0" vertOverflow="overflow" horzOverflow="overflow" vert="horz" wrap="none" lIns="0" tIns="0" rIns="0" bIns="0" numCol="1" spcCol="3810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LjnZEsjAgAALgQAAA4AAABkcnMvZTJvRG9jLnhtbK1TzY7TMBC+I/EO&#10;lu80aUFQVU1XZVdFSBW7UkGcXcdpIvlPttukPAC8AScu3Pe5+hx8dpp2BZwQOTgznvHMfN/MzG86&#10;JclBON8YXdDxKKdEaG7KRu8K+unj6sWUEh+YLpk0WhT0KDy9WTx/Nm/tTExMbWQpHEEQ7WetLWgd&#10;gp1lmee1UMyPjBUaxso4xQJUt8tKx1pEVzKb5PnrrDWutM5w4T1u73ojXaT4VSV4uK8qLwKRBUVt&#10;IZ0undt4Zos5m+0cs3XDz2Wwf6hCsUYj6SXUHQuM7F3zRyjVcGe8qcKIG5WZqmq4SBiAZpz/hmZT&#10;MysSFpDj7YUm///C8g+HB0eaEr2jRDOFFp2+fzv9eDz9/ErGkZ7W+hm8NhZ+oXtruuh6vve4jKi7&#10;yqn4Bx4CO4g+XsgVXSA8PppOptMcJg7boCBOdn1unQ/vhFEkCgV16F4ilR3WPvSug0vMps2qkRL3&#10;bCY1aRF18iYlYBikSrL+8RMv1QQMm2xUQV/l8Ys4kF9q/CLOHk+UQrftYIzi1pRHYHemHx5v+apB&#10;fWvmwwNzmBZgwgaEexyVNKjDnCVKauO+/O0++qOJsFLSYvoKqrEelMj3Gs2NgzoIbhC2g6D36tZg&#10;nNEw1JLEl9NxBO6CTCrEyhn1GauxjHmgM82RraBhEG9DvwVYLS6Wy+SEkbQsrPXG8hg+Euvtch/A&#10;c6L/ysaZLwxlIvC8QHHqn+rJ67rmi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bjXUj0AAAAAUB&#10;AAAPAAAAAAAAAAEAIAAAACIAAABkcnMvZG93bnJldi54bWxQSwECFAAUAAAACACHTuJAuOdkSyMC&#10;AAAuBAAADgAAAAAAAAABACAAAAAfAQAAZHJzL2Uyb0RvYy54bWxQSwUGAAAAAAYABgBZAQAAtAUA&#10;AAAA&#10;">
              <v:fill on="f" focussize="0,0"/>
              <v:stroke on="f" weight="1pt" miterlimit="4" joinstyle="miter"/>
              <v:imagedata o:title=""/>
              <o:lock v:ext="edit" aspectratio="f"/>
              <v:textbox inset="0mm,0mm,0mm,0mm" style="mso-fit-shape-to-text:t;">
                <w:txbxContent>
                  <w:p>
                    <w:pPr>
                      <w:pStyle w:val="7"/>
                      <w:ind w:firstLine="360"/>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9</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9"/>
        <w:spacing w:line="240" w:lineRule="auto"/>
        <w:ind w:firstLine="360"/>
        <w:rPr>
          <w:lang w:eastAsia="zh-CN"/>
        </w:rPr>
      </w:pPr>
      <w:r>
        <w:rPr>
          <w:rStyle w:val="16"/>
        </w:rPr>
        <w:footnoteRef/>
      </w:r>
      <w:r>
        <w:rPr>
          <w:lang w:eastAsia="zh-CN"/>
        </w:rPr>
        <w:t xml:space="preserve"> </w:t>
      </w:r>
      <w:r>
        <w:rPr>
          <w:rFonts w:hint="eastAsia"/>
          <w:lang w:eastAsia="zh-CN"/>
        </w:rPr>
        <w:t>收稿日期：</w:t>
      </w:r>
      <w:r>
        <w:rPr>
          <w:rFonts w:hint="eastAsia"/>
          <w:highlight w:val="yellow"/>
          <w:lang w:eastAsia="zh-CN"/>
        </w:rPr>
        <w:t>2019年</w:t>
      </w:r>
      <w:r>
        <w:rPr>
          <w:rFonts w:hint="eastAsia"/>
          <w:highlight w:val="yellow"/>
          <w:lang w:val="en-US" w:eastAsia="zh-CN"/>
        </w:rPr>
        <w:t>03</w:t>
      </w:r>
      <w:r>
        <w:rPr>
          <w:rFonts w:hint="eastAsia"/>
          <w:highlight w:val="yellow"/>
          <w:lang w:eastAsia="zh-CN"/>
        </w:rPr>
        <w:t>月</w:t>
      </w:r>
      <w:r>
        <w:rPr>
          <w:rFonts w:hint="eastAsia"/>
          <w:highlight w:val="yellow"/>
          <w:lang w:val="en-US" w:eastAsia="zh-CN"/>
        </w:rPr>
        <w:t>22</w:t>
      </w:r>
      <w:r>
        <w:rPr>
          <w:rFonts w:hint="eastAsia"/>
          <w:highlight w:val="yellow"/>
          <w:lang w:eastAsia="zh-CN"/>
        </w:rPr>
        <w:t>日</w:t>
      </w:r>
    </w:p>
    <w:p>
      <w:pPr>
        <w:pStyle w:val="9"/>
        <w:spacing w:line="240" w:lineRule="auto"/>
        <w:ind w:firstLine="540" w:firstLineChars="300"/>
        <w:rPr>
          <w:lang w:eastAsia="zh-CN"/>
        </w:rPr>
      </w:pPr>
      <w:r>
        <w:rPr>
          <w:rFonts w:hint="eastAsia"/>
          <w:lang w:eastAsia="zh-CN"/>
        </w:rPr>
        <w:t>作者简介：陈茂（1995—），女，贵州人，硕士研究生，硕士，研究方向：公共服务。</w:t>
      </w:r>
    </w:p>
    <w:p>
      <w:pPr>
        <w:pStyle w:val="9"/>
        <w:spacing w:line="240" w:lineRule="auto"/>
        <w:ind w:firstLine="540" w:firstLineChars="300"/>
        <w:rPr>
          <w:lang w:eastAsia="zh-CN"/>
        </w:rPr>
      </w:pPr>
      <w:r>
        <w:rPr>
          <w:rFonts w:hint="eastAsia"/>
          <w:lang w:eastAsia="zh-CN"/>
        </w:rPr>
        <w:t>林霞（1978—），女，广西人，副教授，研究方向：社会工作教育、青少年社会工作。</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280"/>
        <w:tab w:val="clear" w:pos="9020"/>
      </w:tabs>
    </w:pPr>
    <w:r>
      <mc:AlternateContent>
        <mc:Choice Requires="wps">
          <w:drawing>
            <wp:anchor distT="152400" distB="152400" distL="152400" distR="152400" simplePos="0" relativeHeight="251658240" behindDoc="1" locked="0" layoutInCell="1" allowOverlap="1">
              <wp:simplePos x="0" y="0"/>
              <wp:positionH relativeFrom="page">
                <wp:posOffset>2863850</wp:posOffset>
              </wp:positionH>
              <wp:positionV relativeFrom="page">
                <wp:posOffset>9834880</wp:posOffset>
              </wp:positionV>
              <wp:extent cx="1828800" cy="18288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1828800" cy="1828800"/>
                      </a:xfrm>
                      <a:prstGeom prst="rect">
                        <a:avLst/>
                      </a:prstGeom>
                      <a:noFill/>
                      <a:ln w="12700" cap="flat">
                        <a:noFill/>
                        <a:miter lim="400000"/>
                      </a:ln>
                      <a:effectLst/>
                    </wps:spPr>
                    <wps:txbx>
                      <w:txbxContent>
                        <w:p>
                          <w:pPr>
                            <w:pStyle w:val="19"/>
                          </w:pPr>
                        </w:p>
                      </w:txbxContent>
                    </wps:txbx>
                    <wps:bodyPr wrap="square" lIns="0" tIns="0" rIns="0" bIns="0" numCol="1" anchor="t">
                      <a:noAutofit/>
                    </wps:bodyPr>
                  </wps:wsp>
                </a:graphicData>
              </a:graphic>
            </wp:anchor>
          </w:drawing>
        </mc:Choice>
        <mc:Fallback>
          <w:pict>
            <v:rect id="officeArt object" o:spid="_x0000_s1026" o:spt="1" style="position:absolute;left:0pt;margin-left:225.5pt;margin-top:774.4pt;height:144pt;width:144pt;mso-position-horizontal-relative:page;mso-position-vertical-relative:page;z-index:-251658240;mso-width-relative:page;mso-height-relative:page;" filled="f" stroked="f" coordsize="21600,21600" o:gfxdata="UEsDBAoAAAAAAIdO4kAAAAAAAAAAAAAAAAAEAAAAZHJzL1BLAwQUAAAACACHTuJAzsaVvtgAAAAN&#10;AQAADwAAAGRycy9kb3ducmV2LnhtbE2PwU7DMBBE70j8g7VI3KgTmoY0xOkBiQM3miIkbtt4m0TE&#10;dhS7qfv3LCc47sxodl61i2YUC81+cFZBukpAkG2dHmyn4OPw+lCA8AGtxtFZUnAlD7v69qbCUruL&#10;3dPShE5wifUlKuhDmEopfduTQb9yE1n2Tm42GPicO6lnvHC5GeVjkuTS4GD5Q48TvfTUfjdno+DT&#10;67dA13fjsga/ctzHJQ5Rqfu7NHkGESiGvzD8zufpUPOmoztb7cWoINukzBLY2GQFQ3Dkab1l6chS&#10;sc4LkHUl/1PUP1BLAwQUAAAACACHTuJAGd64GMsBAACVAwAADgAAAGRycy9lMm9Eb2MueG1srVPB&#10;btswDL0P2D8Iui92sm4JjDhFsaLDgGEr0O4DGFmKNUiiJimx8/ejlDgptlvRHBRSIh/5yOf17WgN&#10;O8gQNbqWz2c1Z9IJ7LTbtfzX88OHFWcxgevAoJMtP8rIbzfv360H38gF9mg6GRiBuNgMvuV9Sr6p&#10;qih6aSHO0EtHjwqDhURu2FVdgIHQrakWdf25GjB0PqCQMdLt/emRbwq+UlKkn0pFmZhpOfWWyhnK&#10;uc1ntVlDswvgey3ObcArurCgHRW9QN1DArYP+j8oq0XAiCrNBNoKldJCFg7EZl7/w+apBy8LFxpO&#10;9JcxxbeDFT8Oj4HpjnZXLz8ub+arxSfOHFja1am7u5AYbn/TJPOwBh8bynnyj+HsRTIz81EFm/8p&#10;i41lwMfLgOWYmKBLQl+tatqDoLfJIZzqmu5DTF8lWpaNlodcN8PC4XtMp9ApJF87fNDG0D00xrGB&#10;UBfLUgBITMrAKflFlNWJBGe0bflNnX+ZFdU3LmPIIplzpcz1xC5badyOFJrNLXZHmtpAsml5/LOH&#10;IDkz3xztJWtsMsJkbCfD7e0XJCXOOQMneiQhTg3e7RMqXRheS1Bn2aHdlx7POs3ieumXqOvXtP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saVvtgAAAANAQAADwAAAAAAAAABACAAAAAiAAAAZHJz&#10;L2Rvd25yZXYueG1sUEsBAhQAFAAAAAgAh07iQBneuBjLAQAAlQMAAA4AAAAAAAAAAQAgAAAAJwEA&#10;AGRycy9lMm9Eb2MueG1sUEsFBgAAAAAGAAYAWQEAAGQFAAAAAA==&#10;">
              <v:fill on="f" focussize="0,0"/>
              <v:stroke on="f" weight="1pt" miterlimit="4" joinstyle="miter"/>
              <v:imagedata o:title=""/>
              <o:lock v:ext="edit" aspectratio="f"/>
              <v:textbox inset="0mm,0mm,0mm,0mm">
                <w:txbxContent>
                  <w:p>
                    <w:pPr>
                      <w:pStyle w:val="19"/>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A46E5D"/>
    <w:multiLevelType w:val="singleLevel"/>
    <w:tmpl w:val="CCA46E5D"/>
    <w:lvl w:ilvl="0" w:tentative="0">
      <w:start w:val="1"/>
      <w:numFmt w:val="chineseCounting"/>
      <w:suff w:val="nothing"/>
      <w:lvlText w:val="（%1）"/>
      <w:lvlJc w:val="left"/>
      <w:rPr>
        <w:rFonts w:hint="eastAsia"/>
      </w:rPr>
    </w:lvl>
  </w:abstractNum>
  <w:abstractNum w:abstractNumId="1">
    <w:nsid w:val="D662C718"/>
    <w:multiLevelType w:val="singleLevel"/>
    <w:tmpl w:val="D662C718"/>
    <w:lvl w:ilvl="0" w:tentative="0">
      <w:start w:val="1"/>
      <w:numFmt w:val="decimal"/>
      <w:lvlText w:val="[%1]"/>
      <w:lvlJc w:val="left"/>
      <w:pPr>
        <w:tabs>
          <w:tab w:val="left" w:pos="312"/>
        </w:tabs>
      </w:pPr>
    </w:lvl>
  </w:abstractNum>
  <w:abstractNum w:abstractNumId="2">
    <w:nsid w:val="FFE3F221"/>
    <w:multiLevelType w:val="singleLevel"/>
    <w:tmpl w:val="FFE3F221"/>
    <w:lvl w:ilvl="0" w:tentative="0">
      <w:start w:val="3"/>
      <w:numFmt w:val="chineseCounting"/>
      <w:suff w:val="nothing"/>
      <w:lvlText w:val="%1、"/>
      <w:lvlJc w:val="left"/>
      <w:rPr>
        <w:rFonts w:hint="eastAsia"/>
      </w:rPr>
    </w:lvl>
  </w:abstractNum>
  <w:abstractNum w:abstractNumId="3">
    <w:nsid w:val="05A660C4"/>
    <w:multiLevelType w:val="multilevel"/>
    <w:tmpl w:val="05A660C4"/>
    <w:lvl w:ilvl="0" w:tentative="0">
      <w:start w:val="1"/>
      <w:numFmt w:val="decimal"/>
      <w:lvlText w:val="%1."/>
      <w:lvlJc w:val="left"/>
      <w:pPr>
        <w:ind w:left="780" w:hanging="360"/>
      </w:pPr>
      <w:rPr>
        <w:rFonts w:hint="default" w:ascii="宋体" w:hAnsi="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2A7B1C2"/>
    <w:multiLevelType w:val="singleLevel"/>
    <w:tmpl w:val="12A7B1C2"/>
    <w:lvl w:ilvl="0" w:tentative="0">
      <w:start w:val="2"/>
      <w:numFmt w:val="chineseCounting"/>
      <w:suff w:val="nothing"/>
      <w:lvlText w:val="%1、"/>
      <w:lvlJc w:val="left"/>
      <w:rPr>
        <w:rFonts w:hint="eastAsia"/>
      </w:rPr>
    </w:lvl>
  </w:abstractNum>
  <w:abstractNum w:abstractNumId="5">
    <w:nsid w:val="3AFDBE4A"/>
    <w:multiLevelType w:val="singleLevel"/>
    <w:tmpl w:val="3AFDBE4A"/>
    <w:lvl w:ilvl="0" w:tentative="0">
      <w:start w:val="1"/>
      <w:numFmt w:val="chineseCounting"/>
      <w:suff w:val="nothing"/>
      <w:lvlText w:val="（%1）"/>
      <w:lvlJc w:val="left"/>
      <w:pPr>
        <w:ind w:left="0" w:firstLine="420"/>
      </w:pPr>
      <w:rPr>
        <w:rFonts w:hint="eastAsia"/>
      </w:rPr>
    </w:lvl>
  </w:abstractNum>
  <w:abstractNum w:abstractNumId="6">
    <w:nsid w:val="512A13D7"/>
    <w:multiLevelType w:val="singleLevel"/>
    <w:tmpl w:val="512A13D7"/>
    <w:lvl w:ilvl="0" w:tentative="0">
      <w:start w:val="1"/>
      <w:numFmt w:val="chineseCounting"/>
      <w:suff w:val="nothing"/>
      <w:lvlText w:val="（%1）"/>
      <w:lvlJc w:val="left"/>
      <w:rPr>
        <w:rFonts w:hint="eastAsia"/>
      </w:rPr>
    </w:lvl>
  </w:abstractNum>
  <w:abstractNum w:abstractNumId="7">
    <w:nsid w:val="599CC58C"/>
    <w:multiLevelType w:val="singleLevel"/>
    <w:tmpl w:val="599CC58C"/>
    <w:lvl w:ilvl="0" w:tentative="0">
      <w:start w:val="1"/>
      <w:numFmt w:val="chineseCounting"/>
      <w:suff w:val="nothing"/>
      <w:lvlText w:val="（%1）"/>
      <w:lvlJc w:val="left"/>
      <w:pPr>
        <w:ind w:left="0" w:firstLine="420"/>
      </w:pPr>
      <w:rPr>
        <w:rFonts w:hint="eastAsia"/>
      </w:rPr>
    </w:lvl>
  </w:abstractNum>
  <w:num w:numId="1">
    <w:abstractNumId w:val="4"/>
  </w:num>
  <w:num w:numId="2">
    <w:abstractNumId w:val="5"/>
  </w:num>
  <w:num w:numId="3">
    <w:abstractNumId w:val="2"/>
  </w:num>
  <w:num w:numId="4">
    <w:abstractNumId w:val="7"/>
  </w:num>
  <w:num w:numId="5">
    <w:abstractNumId w:val="6"/>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noPunctuationKerning w:val="1"/>
  <w:characterSpacingControl w:val="doNotCompress"/>
  <w:endnotePr>
    <w:numFmt w:val="decimal"/>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392"/>
    <w:rsid w:val="00001CDB"/>
    <w:rsid w:val="000332BD"/>
    <w:rsid w:val="00041845"/>
    <w:rsid w:val="00075B31"/>
    <w:rsid w:val="0009438D"/>
    <w:rsid w:val="000B433E"/>
    <w:rsid w:val="000E2B21"/>
    <w:rsid w:val="000F0E48"/>
    <w:rsid w:val="000F4683"/>
    <w:rsid w:val="00154E0B"/>
    <w:rsid w:val="00155605"/>
    <w:rsid w:val="001618DD"/>
    <w:rsid w:val="00183F01"/>
    <w:rsid w:val="0019420E"/>
    <w:rsid w:val="001A3DA6"/>
    <w:rsid w:val="001C14F5"/>
    <w:rsid w:val="001E77CE"/>
    <w:rsid w:val="001F6A11"/>
    <w:rsid w:val="00215919"/>
    <w:rsid w:val="00231567"/>
    <w:rsid w:val="002550C9"/>
    <w:rsid w:val="002A1F95"/>
    <w:rsid w:val="00304C0A"/>
    <w:rsid w:val="003335B2"/>
    <w:rsid w:val="0036534B"/>
    <w:rsid w:val="00392431"/>
    <w:rsid w:val="003D46EE"/>
    <w:rsid w:val="003E6533"/>
    <w:rsid w:val="004336BA"/>
    <w:rsid w:val="00436620"/>
    <w:rsid w:val="004420BD"/>
    <w:rsid w:val="00470244"/>
    <w:rsid w:val="004C159C"/>
    <w:rsid w:val="004D3AE3"/>
    <w:rsid w:val="004F023F"/>
    <w:rsid w:val="004F333B"/>
    <w:rsid w:val="005029B1"/>
    <w:rsid w:val="00507333"/>
    <w:rsid w:val="00550FB1"/>
    <w:rsid w:val="00553DD9"/>
    <w:rsid w:val="00555DE0"/>
    <w:rsid w:val="00572199"/>
    <w:rsid w:val="00574C94"/>
    <w:rsid w:val="00576268"/>
    <w:rsid w:val="00576340"/>
    <w:rsid w:val="005A4946"/>
    <w:rsid w:val="005A517B"/>
    <w:rsid w:val="005A5A12"/>
    <w:rsid w:val="005B4B8F"/>
    <w:rsid w:val="005E27BC"/>
    <w:rsid w:val="00604D70"/>
    <w:rsid w:val="0060520B"/>
    <w:rsid w:val="00615C80"/>
    <w:rsid w:val="00616B85"/>
    <w:rsid w:val="00625D9A"/>
    <w:rsid w:val="0065171A"/>
    <w:rsid w:val="006729F4"/>
    <w:rsid w:val="006774DB"/>
    <w:rsid w:val="00691AB8"/>
    <w:rsid w:val="00692D4C"/>
    <w:rsid w:val="0069378E"/>
    <w:rsid w:val="006950D8"/>
    <w:rsid w:val="006C3392"/>
    <w:rsid w:val="006D5994"/>
    <w:rsid w:val="006D6AD5"/>
    <w:rsid w:val="0072502D"/>
    <w:rsid w:val="0074132C"/>
    <w:rsid w:val="007552EA"/>
    <w:rsid w:val="0077106C"/>
    <w:rsid w:val="00775D97"/>
    <w:rsid w:val="007A6432"/>
    <w:rsid w:val="007B7EDB"/>
    <w:rsid w:val="007C3CF9"/>
    <w:rsid w:val="007D3E20"/>
    <w:rsid w:val="008057C2"/>
    <w:rsid w:val="008B5438"/>
    <w:rsid w:val="008D3190"/>
    <w:rsid w:val="00923380"/>
    <w:rsid w:val="0094186F"/>
    <w:rsid w:val="00957056"/>
    <w:rsid w:val="00963016"/>
    <w:rsid w:val="00990C70"/>
    <w:rsid w:val="009B6924"/>
    <w:rsid w:val="009C1F37"/>
    <w:rsid w:val="009F7DCF"/>
    <w:rsid w:val="00A008FA"/>
    <w:rsid w:val="00A22F0F"/>
    <w:rsid w:val="00A24C80"/>
    <w:rsid w:val="00A315DE"/>
    <w:rsid w:val="00A45453"/>
    <w:rsid w:val="00A55125"/>
    <w:rsid w:val="00A868AD"/>
    <w:rsid w:val="00AA6961"/>
    <w:rsid w:val="00AD7D0B"/>
    <w:rsid w:val="00AF082A"/>
    <w:rsid w:val="00AF780B"/>
    <w:rsid w:val="00B142B8"/>
    <w:rsid w:val="00B425C3"/>
    <w:rsid w:val="00B537CC"/>
    <w:rsid w:val="00B645E0"/>
    <w:rsid w:val="00B67478"/>
    <w:rsid w:val="00B72C0C"/>
    <w:rsid w:val="00B7619F"/>
    <w:rsid w:val="00B92380"/>
    <w:rsid w:val="00B9775A"/>
    <w:rsid w:val="00BA1ECF"/>
    <w:rsid w:val="00BA7DD2"/>
    <w:rsid w:val="00BB24AF"/>
    <w:rsid w:val="00BC75CD"/>
    <w:rsid w:val="00BE4788"/>
    <w:rsid w:val="00BE4C79"/>
    <w:rsid w:val="00C03A90"/>
    <w:rsid w:val="00C14B8C"/>
    <w:rsid w:val="00C3096E"/>
    <w:rsid w:val="00C356D2"/>
    <w:rsid w:val="00C36B0F"/>
    <w:rsid w:val="00C72971"/>
    <w:rsid w:val="00C7687A"/>
    <w:rsid w:val="00CC5D53"/>
    <w:rsid w:val="00CD4887"/>
    <w:rsid w:val="00CF1C84"/>
    <w:rsid w:val="00CF5287"/>
    <w:rsid w:val="00D0160A"/>
    <w:rsid w:val="00D16F93"/>
    <w:rsid w:val="00D233BE"/>
    <w:rsid w:val="00D91086"/>
    <w:rsid w:val="00E431FF"/>
    <w:rsid w:val="00E6584D"/>
    <w:rsid w:val="00E678AC"/>
    <w:rsid w:val="00E84171"/>
    <w:rsid w:val="00E903C7"/>
    <w:rsid w:val="00F150EF"/>
    <w:rsid w:val="00F16472"/>
    <w:rsid w:val="00F93362"/>
    <w:rsid w:val="00F97783"/>
    <w:rsid w:val="00FA1246"/>
    <w:rsid w:val="00FA4C1C"/>
    <w:rsid w:val="00FB2987"/>
    <w:rsid w:val="00FB5995"/>
    <w:rsid w:val="00FB5A0B"/>
    <w:rsid w:val="00FD725E"/>
    <w:rsid w:val="02812E96"/>
    <w:rsid w:val="03A171C1"/>
    <w:rsid w:val="04FE68BA"/>
    <w:rsid w:val="068868FB"/>
    <w:rsid w:val="0A42266E"/>
    <w:rsid w:val="10755153"/>
    <w:rsid w:val="122F24BF"/>
    <w:rsid w:val="124E46AA"/>
    <w:rsid w:val="18CD5768"/>
    <w:rsid w:val="198B780C"/>
    <w:rsid w:val="1A2E3BA0"/>
    <w:rsid w:val="1B400612"/>
    <w:rsid w:val="214F7460"/>
    <w:rsid w:val="285D3C66"/>
    <w:rsid w:val="299B7411"/>
    <w:rsid w:val="2B3F2D51"/>
    <w:rsid w:val="2F3832CB"/>
    <w:rsid w:val="30C4704C"/>
    <w:rsid w:val="356D518C"/>
    <w:rsid w:val="36F8553B"/>
    <w:rsid w:val="3A346635"/>
    <w:rsid w:val="3AC27F56"/>
    <w:rsid w:val="3BFC39FD"/>
    <w:rsid w:val="3D664C54"/>
    <w:rsid w:val="3F920981"/>
    <w:rsid w:val="3FE5318D"/>
    <w:rsid w:val="40BD0343"/>
    <w:rsid w:val="45537931"/>
    <w:rsid w:val="49EE7DC4"/>
    <w:rsid w:val="52F75FAF"/>
    <w:rsid w:val="545E1321"/>
    <w:rsid w:val="547D3ABB"/>
    <w:rsid w:val="64161984"/>
    <w:rsid w:val="666E5414"/>
    <w:rsid w:val="6963619C"/>
    <w:rsid w:val="6A0E1ADA"/>
    <w:rsid w:val="6B3959F5"/>
    <w:rsid w:val="6F2F1EC2"/>
    <w:rsid w:val="70D61CF3"/>
    <w:rsid w:val="713367E7"/>
    <w:rsid w:val="71732D61"/>
    <w:rsid w:val="73996DB3"/>
    <w:rsid w:val="743B0EE9"/>
    <w:rsid w:val="74BB3331"/>
    <w:rsid w:val="758D3D2F"/>
    <w:rsid w:val="775E79A5"/>
    <w:rsid w:val="7E52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643" w:firstLineChars="200"/>
    </w:pPr>
    <w:rPr>
      <w:rFonts w:ascii="Times New Roman" w:hAnsi="Times New Roman" w:eastAsia="宋体" w:cs="Times New Roman"/>
      <w:sz w:val="24"/>
      <w:szCs w:val="24"/>
      <w:lang w:val="en-US" w:eastAsia="en-US" w:bidi="ar-SA"/>
    </w:rPr>
  </w:style>
  <w:style w:type="paragraph" w:styleId="2">
    <w:name w:val="heading 1"/>
    <w:basedOn w:val="1"/>
    <w:next w:val="1"/>
    <w:qFormat/>
    <w:uiPriority w:val="9"/>
    <w:pPr>
      <w:keepNext/>
      <w:keepLines/>
      <w:outlineLvl w:val="0"/>
    </w:pPr>
    <w:rPr>
      <w:b/>
      <w:kern w:val="44"/>
      <w:sz w:val="28"/>
    </w:rPr>
  </w:style>
  <w:style w:type="paragraph" w:styleId="3">
    <w:name w:val="heading 2"/>
    <w:basedOn w:val="1"/>
    <w:next w:val="1"/>
    <w:unhideWhenUsed/>
    <w:qFormat/>
    <w:uiPriority w:val="9"/>
    <w:pPr>
      <w:keepNext/>
      <w:keepLines/>
      <w:outlineLvl w:val="1"/>
    </w:pPr>
    <w:rPr>
      <w:rFonts w:ascii="Arial" w:hAnsi="Arial"/>
      <w:b/>
    </w:rPr>
  </w:style>
  <w:style w:type="character" w:default="1" w:styleId="12">
    <w:name w:val="Default Paragraph Font"/>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23"/>
    <w:semiHidden/>
    <w:unhideWhenUsed/>
    <w:qFormat/>
    <w:uiPriority w:val="99"/>
  </w:style>
  <w:style w:type="paragraph" w:styleId="5">
    <w:name w:val="endnote text"/>
    <w:basedOn w:val="1"/>
    <w:semiHidden/>
    <w:unhideWhenUsed/>
    <w:qFormat/>
    <w:uiPriority w:val="99"/>
    <w:pPr>
      <w:snapToGrid w:val="0"/>
    </w:pPr>
  </w:style>
  <w:style w:type="paragraph" w:styleId="6">
    <w:name w:val="Balloon Text"/>
    <w:basedOn w:val="1"/>
    <w:link w:val="25"/>
    <w:semiHidden/>
    <w:unhideWhenUsed/>
    <w:qFormat/>
    <w:uiPriority w:val="99"/>
    <w:rPr>
      <w:sz w:val="18"/>
      <w:szCs w:val="18"/>
    </w:rPr>
  </w:style>
  <w:style w:type="paragraph" w:styleId="7">
    <w:name w:val="footer"/>
    <w:basedOn w:val="1"/>
    <w:unhideWhenUsed/>
    <w:qFormat/>
    <w:uiPriority w:val="99"/>
    <w:pPr>
      <w:tabs>
        <w:tab w:val="center" w:pos="4153"/>
        <w:tab w:val="right" w:pos="8306"/>
      </w:tabs>
      <w:snapToGrid w:val="0"/>
    </w:pPr>
    <w:rPr>
      <w:sz w:val="18"/>
    </w:rPr>
  </w:style>
  <w:style w:type="paragraph" w:styleId="8">
    <w:name w:val="header"/>
    <w:basedOn w:val="1"/>
    <w:link w:val="26"/>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footnote text"/>
    <w:basedOn w:val="1"/>
    <w:semiHidden/>
    <w:unhideWhenUsed/>
    <w:qFormat/>
    <w:uiPriority w:val="99"/>
    <w:pPr>
      <w:snapToGrid w:val="0"/>
    </w:pPr>
    <w:rPr>
      <w:sz w:val="18"/>
    </w:rPr>
  </w:style>
  <w:style w:type="paragraph" w:styleId="10">
    <w:name w:val="annotation subject"/>
    <w:basedOn w:val="4"/>
    <w:next w:val="4"/>
    <w:link w:val="24"/>
    <w:semiHidden/>
    <w:unhideWhenUsed/>
    <w:qFormat/>
    <w:uiPriority w:val="99"/>
    <w:rPr>
      <w:b/>
      <w:bCs/>
    </w:rPr>
  </w:style>
  <w:style w:type="character" w:styleId="13">
    <w:name w:val="endnote reference"/>
    <w:basedOn w:val="12"/>
    <w:semiHidden/>
    <w:unhideWhenUsed/>
    <w:qFormat/>
    <w:uiPriority w:val="99"/>
    <w:rPr>
      <w:vertAlign w:val="superscript"/>
    </w:rPr>
  </w:style>
  <w:style w:type="character" w:styleId="14">
    <w:name w:val="Hyperlink"/>
    <w:qFormat/>
    <w:uiPriority w:val="0"/>
    <w:rPr>
      <w:u w:val="single"/>
    </w:rPr>
  </w:style>
  <w:style w:type="character" w:styleId="15">
    <w:name w:val="annotation reference"/>
    <w:basedOn w:val="12"/>
    <w:semiHidden/>
    <w:unhideWhenUsed/>
    <w:qFormat/>
    <w:uiPriority w:val="99"/>
    <w:rPr>
      <w:sz w:val="21"/>
      <w:szCs w:val="21"/>
    </w:rPr>
  </w:style>
  <w:style w:type="character" w:styleId="16">
    <w:name w:val="footnote reference"/>
    <w:basedOn w:val="12"/>
    <w:semiHidden/>
    <w:unhideWhenUsed/>
    <w:qFormat/>
    <w:uiPriority w:val="99"/>
    <w:rPr>
      <w:vertAlign w:val="superscript"/>
    </w:rPr>
  </w:style>
  <w:style w:type="table" w:customStyle="1" w:styleId="17">
    <w:name w:val="Table Normal"/>
    <w:qFormat/>
    <w:uiPriority w:val="0"/>
    <w:tblPr>
      <w:tblLayout w:type="fixed"/>
      <w:tblCellMar>
        <w:top w:w="0" w:type="dxa"/>
        <w:left w:w="0" w:type="dxa"/>
        <w:bottom w:w="0" w:type="dxa"/>
        <w:right w:w="0" w:type="dxa"/>
      </w:tblCellMar>
    </w:tblPr>
  </w:style>
  <w:style w:type="paragraph" w:customStyle="1" w:styleId="18">
    <w:name w:val="页眉与页脚"/>
    <w:qFormat/>
    <w:uiPriority w:val="0"/>
    <w:pPr>
      <w:tabs>
        <w:tab w:val="right" w:pos="9020"/>
      </w:tabs>
    </w:pPr>
    <w:rPr>
      <w:rFonts w:ascii="Calibri" w:hAnsi="Calibri" w:eastAsia="Calibri" w:cs="Calibri"/>
      <w:color w:val="000000"/>
      <w:sz w:val="24"/>
      <w:szCs w:val="24"/>
      <w:u w:color="000000"/>
      <w:lang w:val="en-US" w:eastAsia="zh-CN" w:bidi="ar-SA"/>
    </w:rPr>
  </w:style>
  <w:style w:type="paragraph" w:customStyle="1" w:styleId="19">
    <w:name w:val="页脚1"/>
    <w:qFormat/>
    <w:uiPriority w:val="0"/>
    <w:pPr>
      <w:tabs>
        <w:tab w:val="center" w:pos="4153"/>
        <w:tab w:val="right" w:pos="8306"/>
      </w:tabs>
    </w:pPr>
    <w:rPr>
      <w:rFonts w:ascii="Calibri" w:hAnsi="Calibri" w:eastAsia="Calibri" w:cs="Calibri"/>
      <w:color w:val="000000"/>
      <w:sz w:val="18"/>
      <w:szCs w:val="18"/>
      <w:u w:color="000000"/>
      <w:lang w:val="en-US" w:eastAsia="zh-CN" w:bidi="ar-SA"/>
    </w:rPr>
  </w:style>
  <w:style w:type="paragraph" w:customStyle="1" w:styleId="20">
    <w:name w:val="一级标题-投稿北城"/>
    <w:qFormat/>
    <w:uiPriority w:val="0"/>
    <w:pPr>
      <w:widowControl w:val="0"/>
      <w:spacing w:line="400" w:lineRule="exact"/>
      <w:ind w:firstLine="643" w:firstLineChars="200"/>
      <w:jc w:val="both"/>
    </w:pPr>
    <w:rPr>
      <w:rFonts w:ascii="Arial Unicode MS" w:hAnsi="Arial Unicode MS" w:eastAsia="宋体" w:cs="Times New Roman"/>
      <w:b/>
      <w:color w:val="000000"/>
      <w:kern w:val="2"/>
      <w:sz w:val="24"/>
      <w:szCs w:val="24"/>
      <w:u w:color="000000"/>
      <w:lang w:val="en-US" w:eastAsia="zh-CN" w:bidi="ar-SA"/>
    </w:rPr>
  </w:style>
  <w:style w:type="paragraph" w:customStyle="1" w:styleId="21">
    <w:name w:val="正文北城投稿"/>
    <w:qFormat/>
    <w:uiPriority w:val="0"/>
    <w:pPr>
      <w:widowControl w:val="0"/>
      <w:spacing w:line="400" w:lineRule="exact"/>
      <w:ind w:firstLine="643" w:firstLineChars="200"/>
      <w:jc w:val="both"/>
    </w:pPr>
    <w:rPr>
      <w:rFonts w:hint="eastAsia" w:ascii="Times New Roman" w:hAnsi="Times New Roman" w:eastAsia="宋体" w:cs="Times New Roman"/>
      <w:color w:val="000000"/>
      <w:sz w:val="21"/>
      <w:szCs w:val="21"/>
      <w:u w:color="000000"/>
      <w:lang w:val="zh-TW" w:eastAsia="zh-TW" w:bidi="ar-SA"/>
    </w:rPr>
  </w:style>
  <w:style w:type="paragraph" w:customStyle="1" w:styleId="22">
    <w:name w:val="二级标题-投稿北城"/>
    <w:qFormat/>
    <w:uiPriority w:val="0"/>
    <w:pPr>
      <w:spacing w:line="400" w:lineRule="exact"/>
      <w:ind w:firstLine="643" w:firstLineChars="200"/>
    </w:pPr>
    <w:rPr>
      <w:rFonts w:ascii="Calibri" w:hAnsi="Calibri" w:eastAsia="宋体" w:cs="Times New Roman"/>
      <w:b/>
      <w:bCs/>
      <w:color w:val="000000"/>
      <w:sz w:val="21"/>
      <w:szCs w:val="21"/>
      <w:u w:color="000000"/>
      <w:lang w:val="en-US" w:eastAsia="zh-CN" w:bidi="ar-SA"/>
    </w:rPr>
  </w:style>
  <w:style w:type="character" w:customStyle="1" w:styleId="23">
    <w:name w:val="批注文字 字符"/>
    <w:basedOn w:val="12"/>
    <w:link w:val="4"/>
    <w:semiHidden/>
    <w:qFormat/>
    <w:uiPriority w:val="99"/>
    <w:rPr>
      <w:sz w:val="24"/>
      <w:szCs w:val="24"/>
      <w:lang w:eastAsia="en-US"/>
    </w:rPr>
  </w:style>
  <w:style w:type="character" w:customStyle="1" w:styleId="24">
    <w:name w:val="批注主题 字符"/>
    <w:basedOn w:val="23"/>
    <w:link w:val="10"/>
    <w:semiHidden/>
    <w:qFormat/>
    <w:uiPriority w:val="99"/>
    <w:rPr>
      <w:b/>
      <w:bCs/>
      <w:sz w:val="24"/>
      <w:szCs w:val="24"/>
      <w:lang w:eastAsia="en-US"/>
    </w:rPr>
  </w:style>
  <w:style w:type="character" w:customStyle="1" w:styleId="25">
    <w:name w:val="批注框文本 字符"/>
    <w:basedOn w:val="12"/>
    <w:link w:val="6"/>
    <w:semiHidden/>
    <w:qFormat/>
    <w:uiPriority w:val="99"/>
    <w:rPr>
      <w:sz w:val="18"/>
      <w:szCs w:val="18"/>
      <w:lang w:eastAsia="en-US"/>
    </w:rPr>
  </w:style>
  <w:style w:type="character" w:customStyle="1" w:styleId="26">
    <w:name w:val="页眉 字符"/>
    <w:basedOn w:val="12"/>
    <w:link w:val="8"/>
    <w:uiPriority w:val="99"/>
    <w:rPr>
      <w:sz w:val="18"/>
      <w:szCs w:val="18"/>
      <w:lang w:eastAsia="en-US"/>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11" Type="http://schemas.openxmlformats.org/officeDocument/2006/relationships/customXml" Target="../customXml/item1.xml"/>
  <Relationship Id="rId12" Type="http://schemas.openxmlformats.org/officeDocument/2006/relationships/numbering" Target="numbering.xml"/>
  <Relationship Id="rId13"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1540</Words>
  <Characters>8778</Characters>
  <Lines>73</Lines>
  <Paragraphs>20</Paragraphs>
  <TotalTime>82</TotalTime>
  <ScaleCrop>false</ScaleCrop>
  <LinksUpToDate>false</LinksUpToDate>
  <CharactersWithSpaces>10298</CharactersWithSpaces>
  <Application>WPS Office_11.1.0.8765_F1E327BC-269C-435d-A152-05C5408002CA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2019-09-17T16:25:00Z</dcterms:created>
  <dc:creator>Administrator.YMS-20151225UTS</dc:creator>
  <lastModifiedBy>HH</lastModifiedBy>
  <dcterms:modified xsi:type="dcterms:W3CDTF">2019-09-23T04:20:36Z</dcterms:modified>
  <revision>24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