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hAnsi="黑体" w:eastAsia="黑体" w:cs="黑体"/>
          <w:sz w:val="32"/>
          <w:szCs w:val="32"/>
        </w:rPr>
      </w:pPr>
      <w:r>
        <w:rPr>
          <w:rFonts w:hint="eastAsia" w:ascii="黑体" w:hAnsi="黑体" w:eastAsia="黑体" w:cs="黑体"/>
          <w:b/>
          <w:bCs/>
          <w:sz w:val="32"/>
          <w:szCs w:val="32"/>
        </w:rPr>
        <w:t>思辨能力的培养与多模态外语教学设计</w:t>
      </w:r>
    </w:p>
    <w:p>
      <w:pPr>
        <w:spacing w:line="400" w:lineRule="exact"/>
        <w:jc w:val="center"/>
        <w:rPr>
          <w:rFonts w:ascii="宋体" w:cs="宋体"/>
          <w:sz w:val="18"/>
          <w:szCs w:val="18"/>
        </w:rPr>
      </w:pPr>
      <w:r>
        <w:rPr>
          <w:rFonts w:ascii="宋体" w:hAnsi="宋体" w:cs="宋体"/>
          <w:sz w:val="18"/>
          <w:szCs w:val="18"/>
        </w:rPr>
        <w:t xml:space="preserve"> </w:t>
      </w:r>
      <w:r>
        <w:rPr>
          <w:rFonts w:hint="eastAsia" w:ascii="宋体" w:hAnsi="宋体" w:cs="宋体"/>
          <w:szCs w:val="21"/>
        </w:rPr>
        <w:t>陈知武</w:t>
      </w:r>
    </w:p>
    <w:p>
      <w:pPr>
        <w:spacing w:line="400" w:lineRule="exact"/>
        <w:jc w:val="center"/>
        <w:rPr>
          <w:rFonts w:ascii="宋体" w:cs="宋体"/>
          <w:szCs w:val="21"/>
        </w:rPr>
      </w:pPr>
      <w:r>
        <w:rPr>
          <w:rFonts w:hint="eastAsia" w:ascii="宋体" w:hAnsi="宋体" w:cs="宋体"/>
          <w:szCs w:val="21"/>
        </w:rPr>
        <w:t>（大连理工大学城市学院</w:t>
      </w:r>
      <w:r>
        <w:rPr>
          <w:rFonts w:hint="eastAsia" w:ascii="宋体" w:hAnsi="宋体" w:cs="宋体"/>
          <w:szCs w:val="21"/>
          <w:lang w:eastAsia="zh-CN"/>
        </w:rPr>
        <w:t>，</w:t>
      </w:r>
      <w:r>
        <w:rPr>
          <w:rFonts w:ascii="宋体" w:hAnsi="宋体" w:cs="宋体"/>
          <w:szCs w:val="21"/>
        </w:rPr>
        <w:t xml:space="preserve"> </w:t>
      </w:r>
      <w:r>
        <w:rPr>
          <w:rFonts w:hint="eastAsia" w:ascii="宋体" w:hAnsi="宋体" w:cs="宋体"/>
          <w:szCs w:val="21"/>
        </w:rPr>
        <w:t>辽宁</w:t>
      </w:r>
      <w:r>
        <w:rPr>
          <w:rFonts w:ascii="宋体" w:hAnsi="宋体" w:cs="宋体"/>
          <w:szCs w:val="21"/>
        </w:rPr>
        <w:t xml:space="preserve"> </w:t>
      </w:r>
      <w:r>
        <w:rPr>
          <w:rFonts w:hint="eastAsia" w:ascii="宋体" w:hAnsi="宋体" w:cs="宋体"/>
          <w:szCs w:val="21"/>
        </w:rPr>
        <w:t>大连</w:t>
      </w:r>
      <w:r>
        <w:rPr>
          <w:rFonts w:ascii="宋体" w:hAnsi="宋体" w:cs="宋体"/>
          <w:szCs w:val="21"/>
        </w:rPr>
        <w:t xml:space="preserve"> 116600</w:t>
      </w:r>
      <w:r>
        <w:rPr>
          <w:rFonts w:hint="eastAsia" w:ascii="宋体" w:hAnsi="宋体" w:cs="宋体"/>
          <w:szCs w:val="21"/>
        </w:rPr>
        <w:t>）</w:t>
      </w:r>
    </w:p>
    <w:p>
      <w:pPr>
        <w:spacing w:line="400" w:lineRule="exact"/>
        <w:rPr>
          <w:rFonts w:ascii="宋体" w:cs="宋体"/>
          <w:szCs w:val="21"/>
        </w:rPr>
      </w:pPr>
      <w:r>
        <w:rPr>
          <w:rFonts w:hint="eastAsia" w:ascii="宋体" w:hAnsi="宋体" w:cs="宋体"/>
          <w:b/>
          <w:bCs/>
          <w:szCs w:val="21"/>
        </w:rPr>
        <w:t>摘要:</w:t>
      </w:r>
      <w:r>
        <w:rPr>
          <w:rFonts w:hint="eastAsia" w:ascii="宋体" w:hAnsi="宋体" w:cs="宋体"/>
          <w:szCs w:val="21"/>
        </w:rPr>
        <w:t>培养具有思辨能力的人才已是外语教育界的主流趋势。本文通过分析人类思维的发展规律及选择教学模态的原则，总结出多模态外语教学设计流程，培养和提高学生的思辨能力。</w:t>
      </w:r>
    </w:p>
    <w:p>
      <w:pPr>
        <w:spacing w:line="400" w:lineRule="exact"/>
        <w:rPr>
          <w:rFonts w:ascii="宋体" w:cs="宋体"/>
          <w:szCs w:val="21"/>
        </w:rPr>
      </w:pPr>
      <w:r>
        <w:rPr>
          <w:rFonts w:hint="eastAsia" w:ascii="宋体" w:hAnsi="宋体" w:cs="宋体"/>
          <w:b/>
          <w:bCs/>
          <w:szCs w:val="21"/>
        </w:rPr>
        <w:t>关键词:</w:t>
      </w:r>
      <w:r>
        <w:rPr>
          <w:rFonts w:hint="eastAsia" w:ascii="宋体" w:hAnsi="宋体" w:cs="宋体"/>
          <w:szCs w:val="21"/>
        </w:rPr>
        <w:t>思辨能力</w:t>
      </w:r>
      <w:r>
        <w:rPr>
          <w:rFonts w:ascii="宋体" w:hAnsi="宋体" w:cs="宋体"/>
          <w:szCs w:val="21"/>
        </w:rPr>
        <w:t xml:space="preserve"> </w:t>
      </w:r>
      <w:r>
        <w:rPr>
          <w:rFonts w:hint="eastAsia" w:ascii="宋体" w:hAnsi="宋体" w:cs="宋体"/>
          <w:szCs w:val="21"/>
        </w:rPr>
        <w:t>教学模态</w:t>
      </w:r>
      <w:r>
        <w:rPr>
          <w:rFonts w:ascii="宋体" w:hAnsi="宋体" w:cs="宋体"/>
          <w:szCs w:val="21"/>
        </w:rPr>
        <w:t xml:space="preserve"> </w:t>
      </w:r>
      <w:r>
        <w:rPr>
          <w:rFonts w:hint="eastAsia" w:ascii="宋体" w:hAnsi="宋体" w:cs="宋体"/>
          <w:szCs w:val="21"/>
        </w:rPr>
        <w:t>外语教学</w:t>
      </w:r>
    </w:p>
    <w:p>
      <w:pPr>
        <w:widowControl/>
        <w:spacing w:line="400" w:lineRule="exact"/>
        <w:ind w:right="315"/>
        <w:rPr>
          <w:rFonts w:ascii="Arial" w:hAnsi="Arial" w:cs="Arial"/>
          <w:color w:val="000000"/>
          <w:kern w:val="0"/>
          <w:szCs w:val="21"/>
        </w:rPr>
      </w:pPr>
      <w:r>
        <w:rPr>
          <w:rFonts w:hint="eastAsia" w:ascii="宋体" w:hAnsi="宋体" w:cs="Arial"/>
          <w:b/>
          <w:bCs/>
          <w:color w:val="000000"/>
          <w:kern w:val="0"/>
          <w:szCs w:val="21"/>
        </w:rPr>
        <w:t>中图分类号：</w:t>
      </w:r>
      <w:r>
        <w:rPr>
          <w:rFonts w:hint="eastAsia" w:ascii="宋体" w:hAnsi="宋体" w:cs="Arial"/>
          <w:color w:val="000000"/>
          <w:kern w:val="0"/>
          <w:szCs w:val="21"/>
        </w:rPr>
        <w:t>G642</w:t>
      </w:r>
      <w:r>
        <w:rPr>
          <w:rFonts w:hint="eastAsia" w:ascii="宋体" w:hAnsi="宋体" w:cs="Arial"/>
          <w:b/>
          <w:bCs/>
          <w:color w:val="000000"/>
          <w:kern w:val="0"/>
          <w:szCs w:val="21"/>
        </w:rPr>
        <w:t xml:space="preserve">  文献标识码： </w:t>
      </w:r>
      <w:r>
        <w:rPr>
          <w:rFonts w:hint="eastAsia" w:ascii="宋体" w:hAnsi="宋体" w:cs="Arial"/>
          <w:color w:val="000000"/>
          <w:kern w:val="0"/>
          <w:szCs w:val="21"/>
        </w:rPr>
        <w:t>A</w:t>
      </w:r>
      <w:r>
        <w:rPr>
          <w:rFonts w:hint="eastAsia" w:ascii="宋体" w:hAnsi="宋体" w:cs="Arial"/>
          <w:b/>
          <w:bCs/>
          <w:color w:val="000000"/>
          <w:kern w:val="0"/>
          <w:szCs w:val="21"/>
        </w:rPr>
        <w:t xml:space="preserve">   文章编号：</w:t>
      </w:r>
      <w:r>
        <w:rPr>
          <w:rFonts w:hint="eastAsia" w:ascii="宋体" w:hAnsi="宋体" w:cs="Arial"/>
          <w:color w:val="000000"/>
          <w:kern w:val="0"/>
          <w:szCs w:val="21"/>
        </w:rPr>
        <w:t>（由编辑部填写）</w:t>
      </w:r>
    </w:p>
    <w:p>
      <w:pPr>
        <w:spacing w:line="400" w:lineRule="exact"/>
        <w:rPr>
          <w:rFonts w:ascii="Times New Roman" w:hAnsi="Times New Roman"/>
          <w:b/>
          <w:bCs/>
          <w:szCs w:val="21"/>
        </w:rPr>
      </w:pPr>
    </w:p>
    <w:p>
      <w:pPr>
        <w:spacing w:line="400" w:lineRule="exact"/>
        <w:ind w:firstLine="482" w:firstLineChars="200"/>
        <w:rPr>
          <w:rFonts w:ascii="宋体" w:cs="宋体"/>
          <w:b/>
          <w:bCs/>
          <w:sz w:val="24"/>
        </w:rPr>
      </w:pPr>
      <w:r>
        <w:rPr>
          <w:rFonts w:hint="eastAsia" w:ascii="宋体" w:hAnsi="宋体" w:cs="宋体"/>
          <w:b/>
          <w:bCs/>
          <w:sz w:val="24"/>
        </w:rPr>
        <w:t>一、国内外有关思辨能力的研究</w:t>
      </w:r>
    </w:p>
    <w:p>
      <w:pPr>
        <w:spacing w:line="400" w:lineRule="exact"/>
        <w:ind w:firstLine="420" w:firstLineChars="200"/>
        <w:rPr>
          <w:rFonts w:ascii="宋体" w:cs="宋体"/>
          <w:szCs w:val="21"/>
        </w:rPr>
      </w:pPr>
      <w:r>
        <w:rPr>
          <w:rFonts w:hint="eastAsia" w:ascii="宋体" w:hAnsi="宋体" w:cs="宋体"/>
          <w:szCs w:val="21"/>
        </w:rPr>
        <w:t>近</w:t>
      </w:r>
      <w:r>
        <w:rPr>
          <w:rFonts w:ascii="宋体" w:hAnsi="宋体" w:cs="宋体"/>
          <w:szCs w:val="21"/>
        </w:rPr>
        <w:t>20</w:t>
      </w:r>
      <w:r>
        <w:rPr>
          <w:rFonts w:hint="eastAsia" w:ascii="宋体" w:hAnsi="宋体" w:cs="宋体"/>
          <w:szCs w:val="21"/>
        </w:rPr>
        <w:t>年来，西方国家针对学习者思辨能力的研究越来越重视，美国、英国和澳大利亚等国家已经将培养思辨能力列入高等教育的重要任务之一</w:t>
      </w:r>
      <w:r>
        <w:rPr>
          <w:rFonts w:eastAsia="MS Mincho"/>
          <w:vertAlign w:val="superscript"/>
        </w:rPr>
        <w:t>[</w:t>
      </w:r>
      <w:r>
        <w:rPr>
          <w:vertAlign w:val="superscript"/>
        </w:rPr>
        <w:t>1</w:t>
      </w:r>
      <w:r>
        <w:rPr>
          <w:rFonts w:eastAsia="MS Mincho"/>
          <w:vertAlign w:val="superscript"/>
        </w:rPr>
        <w:t>]</w:t>
      </w:r>
      <w:r>
        <w:rPr>
          <w:rFonts w:hint="eastAsia" w:ascii="宋体" w:hAnsi="宋体" w:cs="宋体"/>
          <w:szCs w:val="21"/>
        </w:rPr>
        <w:t>。以</w:t>
      </w:r>
      <w:r>
        <w:rPr>
          <w:rFonts w:ascii="Times New Roman" w:hAnsi="Times New Roman"/>
          <w:szCs w:val="21"/>
        </w:rPr>
        <w:t>CASSIDY</w:t>
      </w:r>
      <w:r>
        <w:rPr>
          <w:rFonts w:hint="eastAsia" w:ascii="宋体" w:hAnsi="宋体" w:cs="宋体"/>
          <w:szCs w:val="21"/>
        </w:rPr>
        <w:t>为代表的一批美国研究人员曾做过一项关于个人素质培养的调查研究，结果表明</w:t>
      </w:r>
      <w:bookmarkStart w:id="0" w:name="_GoBack"/>
      <w:bookmarkEnd w:id="0"/>
      <w:r>
        <w:rPr>
          <w:rFonts w:hint="eastAsia" w:ascii="宋体" w:hAnsi="宋体" w:cs="宋体"/>
          <w:szCs w:val="21"/>
        </w:rPr>
        <w:t>超过</w:t>
      </w:r>
      <w:r>
        <w:rPr>
          <w:rFonts w:ascii="宋体" w:hAnsi="宋体" w:cs="宋体"/>
          <w:szCs w:val="21"/>
        </w:rPr>
        <w:t>90%</w:t>
      </w:r>
      <w:r>
        <w:rPr>
          <w:rFonts w:hint="eastAsia" w:ascii="宋体" w:hAnsi="宋体" w:cs="宋体"/>
          <w:szCs w:val="21"/>
        </w:rPr>
        <w:t>的受访对象认为在过去十年间针对思辨能力的培养是比较欠缺的，超过</w:t>
      </w:r>
      <w:r>
        <w:rPr>
          <w:rFonts w:ascii="宋体" w:hAnsi="宋体" w:cs="宋体"/>
          <w:szCs w:val="21"/>
        </w:rPr>
        <w:t>80%</w:t>
      </w:r>
      <w:r>
        <w:rPr>
          <w:rFonts w:hint="eastAsia" w:ascii="宋体" w:hAnsi="宋体" w:cs="宋体"/>
          <w:szCs w:val="21"/>
        </w:rPr>
        <w:t>的受访者认为如何培育思辨能力将成为</w:t>
      </w:r>
      <w:r>
        <w:rPr>
          <w:rFonts w:ascii="宋体" w:hAnsi="宋体" w:cs="宋体"/>
          <w:szCs w:val="21"/>
        </w:rPr>
        <w:t>21</w:t>
      </w:r>
      <w:r>
        <w:rPr>
          <w:rFonts w:hint="eastAsia" w:ascii="宋体" w:hAnsi="宋体" w:cs="宋体"/>
          <w:szCs w:val="21"/>
        </w:rPr>
        <w:t>世纪人才培养的热点研究课题</w:t>
      </w:r>
      <w:r>
        <w:rPr>
          <w:rFonts w:eastAsia="MS Mincho"/>
          <w:vertAlign w:val="superscript"/>
        </w:rPr>
        <w:t>[</w:t>
      </w:r>
      <w:r>
        <w:rPr>
          <w:vertAlign w:val="superscript"/>
        </w:rPr>
        <w:t>2</w:t>
      </w:r>
      <w:r>
        <w:rPr>
          <w:rFonts w:eastAsia="MS Mincho"/>
          <w:vertAlign w:val="superscript"/>
        </w:rPr>
        <w:t>]</w:t>
      </w:r>
      <w:r>
        <w:rPr>
          <w:rFonts w:hint="eastAsia" w:ascii="宋体" w:hAnsi="宋体" w:cs="宋体"/>
          <w:szCs w:val="21"/>
        </w:rPr>
        <w:t>。英国学者</w:t>
      </w:r>
      <w:r>
        <w:rPr>
          <w:rFonts w:ascii="宋体" w:hAnsi="宋体" w:cs="宋体"/>
          <w:szCs w:val="21"/>
        </w:rPr>
        <w:t>FISHER</w:t>
      </w:r>
      <w:r>
        <w:rPr>
          <w:rFonts w:hint="eastAsia" w:ascii="宋体" w:hAnsi="宋体" w:cs="宋体"/>
          <w:szCs w:val="21"/>
        </w:rPr>
        <w:t>指出：英国语言教学的重点应从关注“语言的准确性和流利性”转向“语言的思辨性理解和表达”</w:t>
      </w:r>
      <w:r>
        <w:rPr>
          <w:rFonts w:eastAsia="MS Mincho"/>
          <w:vertAlign w:val="superscript"/>
        </w:rPr>
        <w:t>[</w:t>
      </w:r>
      <w:r>
        <w:rPr>
          <w:vertAlign w:val="superscript"/>
        </w:rPr>
        <w:t>3</w:t>
      </w:r>
      <w:r>
        <w:rPr>
          <w:rFonts w:eastAsia="MS Mincho"/>
          <w:vertAlign w:val="superscript"/>
        </w:rPr>
        <w:t>]</w:t>
      </w:r>
      <w:r>
        <w:rPr>
          <w:rFonts w:hint="eastAsia" w:ascii="宋体" w:hAnsi="宋体" w:cs="宋体"/>
          <w:szCs w:val="21"/>
        </w:rPr>
        <w:t>。澳大利亚的</w:t>
      </w:r>
      <w:r>
        <w:rPr>
          <w:rFonts w:ascii="Times New Roman" w:hAnsi="Times New Roman"/>
          <w:szCs w:val="21"/>
        </w:rPr>
        <w:t>MYREAD</w:t>
      </w:r>
      <w:r>
        <w:rPr>
          <w:rFonts w:hint="eastAsia" w:ascii="宋体" w:hAnsi="宋体" w:cs="宋体"/>
          <w:szCs w:val="21"/>
        </w:rPr>
        <w:t>项目和美国印第安纳大学的</w:t>
      </w:r>
      <w:r>
        <w:rPr>
          <w:rFonts w:ascii="Times New Roman" w:hAnsi="Times New Roman"/>
          <w:szCs w:val="21"/>
        </w:rPr>
        <w:t>CRITICAL WEB READER</w:t>
      </w:r>
      <w:r>
        <w:rPr>
          <w:rFonts w:hint="eastAsia" w:ascii="宋体" w:hAnsi="宋体" w:cs="宋体"/>
          <w:szCs w:val="21"/>
        </w:rPr>
        <w:t>项目针对如何培养学习者的思辨能力做了大量的专项研究</w:t>
      </w:r>
      <w:r>
        <w:rPr>
          <w:rFonts w:eastAsia="MS Mincho"/>
          <w:vertAlign w:val="superscript"/>
        </w:rPr>
        <w:t>[</w:t>
      </w:r>
      <w:r>
        <w:rPr>
          <w:vertAlign w:val="superscript"/>
        </w:rPr>
        <w:t>4</w:t>
      </w:r>
      <w:r>
        <w:rPr>
          <w:rFonts w:eastAsia="MS Mincho"/>
          <w:vertAlign w:val="superscript"/>
        </w:rPr>
        <w:t>]</w:t>
      </w:r>
      <w:r>
        <w:rPr>
          <w:rFonts w:hint="eastAsia" w:ascii="宋体" w:hAnsi="宋体" w:cs="宋体"/>
          <w:szCs w:val="21"/>
        </w:rPr>
        <w:t>。国外关于思辨能力模型构建的理论框架也比较丰富，有</w:t>
      </w:r>
      <w:r>
        <w:rPr>
          <w:rFonts w:ascii="Times New Roman" w:hAnsi="Times New Roman"/>
          <w:szCs w:val="21"/>
        </w:rPr>
        <w:t>THE DELPHI PROJECT</w:t>
      </w:r>
      <w:r>
        <w:rPr>
          <w:rFonts w:hint="eastAsia" w:ascii="宋体" w:hAnsi="宋体" w:cs="宋体"/>
          <w:szCs w:val="21"/>
        </w:rPr>
        <w:t>项目组提出的双维结构思辨能力模型，</w:t>
      </w:r>
      <w:r>
        <w:rPr>
          <w:rFonts w:ascii="Times New Roman" w:hAnsi="Times New Roman"/>
          <w:szCs w:val="21"/>
        </w:rPr>
        <w:t>RICHARD PAUL</w:t>
      </w:r>
      <w:r>
        <w:rPr>
          <w:rFonts w:hint="eastAsia" w:ascii="宋体" w:hAnsi="宋体" w:cs="宋体"/>
          <w:szCs w:val="21"/>
        </w:rPr>
        <w:t>提出的三元结构思辨能力模型，</w:t>
      </w:r>
      <w:r>
        <w:rPr>
          <w:rFonts w:ascii="Times New Roman" w:hAnsi="Times New Roman"/>
          <w:szCs w:val="21"/>
        </w:rPr>
        <w:t>DURANT &amp; GREEN</w:t>
      </w:r>
      <w:r>
        <w:rPr>
          <w:rFonts w:hint="eastAsia" w:ascii="宋体" w:hAnsi="宋体" w:cs="宋体"/>
          <w:szCs w:val="21"/>
        </w:rPr>
        <w:t>提出的三维模型，</w:t>
      </w:r>
      <w:r>
        <w:rPr>
          <w:rFonts w:ascii="Times New Roman" w:hAnsi="Times New Roman"/>
          <w:szCs w:val="21"/>
        </w:rPr>
        <w:t>FERRBODY &amp; LUKE</w:t>
      </w:r>
      <w:r>
        <w:rPr>
          <w:rFonts w:hint="eastAsia" w:ascii="宋体" w:hAnsi="宋体" w:cs="宋体"/>
          <w:szCs w:val="21"/>
        </w:rPr>
        <w:t>提出的四层学习身份模型，</w:t>
      </w:r>
      <w:r>
        <w:rPr>
          <w:rFonts w:ascii="Times New Roman" w:hAnsi="Times New Roman"/>
          <w:szCs w:val="21"/>
        </w:rPr>
        <w:t>COPE &amp; KALANTZIS</w:t>
      </w:r>
      <w:r>
        <w:rPr>
          <w:rFonts w:hint="eastAsia" w:ascii="宋体" w:hAnsi="宋体" w:cs="宋体"/>
          <w:szCs w:val="21"/>
        </w:rPr>
        <w:t>提出的多元化素养模型，</w:t>
      </w:r>
      <w:r>
        <w:rPr>
          <w:rFonts w:ascii="Times New Roman" w:hAnsi="Times New Roman"/>
          <w:szCs w:val="21"/>
        </w:rPr>
        <w:t>ANDERSON &amp; BLOOM</w:t>
      </w:r>
      <w:r>
        <w:rPr>
          <w:rFonts w:hint="eastAsia" w:ascii="宋体" w:hAnsi="宋体" w:cs="宋体"/>
          <w:szCs w:val="21"/>
        </w:rPr>
        <w:t>提出的认知能力六级模型等。这些理论模型都为后来的研究者提供了宝贵的研究资料，具有重大的参考价值</w:t>
      </w:r>
      <w:r>
        <w:rPr>
          <w:rFonts w:eastAsia="MS Mincho"/>
          <w:vertAlign w:val="superscript"/>
        </w:rPr>
        <w:t>[</w:t>
      </w:r>
      <w:r>
        <w:rPr>
          <w:vertAlign w:val="superscript"/>
        </w:rPr>
        <w:t>5</w:t>
      </w:r>
      <w:r>
        <w:rPr>
          <w:rFonts w:eastAsia="MS Mincho"/>
          <w:vertAlign w:val="superscript"/>
        </w:rPr>
        <w:t>]</w:t>
      </w:r>
      <w:r>
        <w:rPr>
          <w:rFonts w:hint="eastAsia" w:ascii="宋体" w:hAnsi="宋体" w:cs="宋体"/>
          <w:szCs w:val="21"/>
        </w:rPr>
        <w:t>。</w:t>
      </w:r>
    </w:p>
    <w:p>
      <w:pPr>
        <w:spacing w:line="400" w:lineRule="exact"/>
        <w:ind w:firstLine="420" w:firstLineChars="200"/>
        <w:rPr>
          <w:rFonts w:ascii="宋体" w:cs="宋体"/>
          <w:szCs w:val="21"/>
        </w:rPr>
      </w:pPr>
      <w:r>
        <w:rPr>
          <w:rFonts w:hint="eastAsia" w:ascii="宋体" w:hAnsi="宋体" w:cs="宋体"/>
          <w:szCs w:val="21"/>
        </w:rPr>
        <w:t>关于思辨能力是否可以量化，教育界存在很大争议。有些学者认为根据研究领域的不同思辨能力本身概念有较大分歧，没有具体实证参数，难以清晰地界定概念。思辨能力是一种主观性较强的社会实践活动，即使能够得出一些具体数据，但其可信度有待商榷。虽然存在种种争议，但对思辨能力量具的研究不断发展，国外比较有权威的有加利福尼亚思辨技能测验、加利福尼亚批判性思维倾向测验、</w:t>
      </w:r>
      <w:r>
        <w:rPr>
          <w:rFonts w:ascii="Times New Roman" w:hAnsi="Times New Roman"/>
          <w:szCs w:val="21"/>
        </w:rPr>
        <w:t>CORNELL</w:t>
      </w:r>
      <w:r>
        <w:rPr>
          <w:rFonts w:hint="eastAsia" w:ascii="宋体" w:hAnsi="宋体" w:cs="宋体"/>
          <w:szCs w:val="21"/>
        </w:rPr>
        <w:t>思辨能力测试、</w:t>
      </w:r>
      <w:r>
        <w:rPr>
          <w:rFonts w:ascii="Times New Roman" w:hAnsi="Times New Roman"/>
          <w:szCs w:val="21"/>
        </w:rPr>
        <w:t>WATSON—GLASER</w:t>
      </w:r>
      <w:r>
        <w:rPr>
          <w:rFonts w:hint="eastAsia" w:ascii="宋体" w:hAnsi="宋体" w:cs="宋体"/>
          <w:szCs w:val="21"/>
        </w:rPr>
        <w:t>思辨能力评估和剑桥思维技能评估等等。随着研究的持续深入，思辨能力的可测量性一定会被逐步认可，将会取得更多的突破。</w:t>
      </w:r>
    </w:p>
    <w:p>
      <w:pPr>
        <w:spacing w:line="400" w:lineRule="exact"/>
        <w:rPr>
          <w:rFonts w:hint="eastAsia" w:ascii="Times New Roman" w:hAnsi="Times New Roman"/>
          <w:bCs/>
          <w:sz w:val="18"/>
          <w:szCs w:val="18"/>
        </w:rPr>
      </w:pPr>
    </w:p>
    <w:p>
      <w:pPr>
        <w:spacing w:line="400" w:lineRule="exact"/>
        <w:rPr>
          <w:rFonts w:ascii="Times New Roman" w:hAnsi="Times New Roman"/>
          <w:bCs/>
          <w:sz w:val="18"/>
          <w:szCs w:val="18"/>
        </w:rPr>
      </w:pPr>
      <w:r>
        <w:rPr>
          <w:rFonts w:hint="eastAsia" w:ascii="Times New Roman" w:hAnsi="Times New Roman"/>
          <w:bCs/>
          <w:sz w:val="18"/>
          <w:szCs w:val="18"/>
        </w:rPr>
        <w:t>_____________________</w:t>
      </w:r>
    </w:p>
    <w:p>
      <w:pPr>
        <w:spacing w:line="400" w:lineRule="exact"/>
        <w:rPr>
          <w:rFonts w:hint="eastAsia" w:ascii="Times New Roman" w:hAnsi="Times New Roman" w:eastAsia="宋体"/>
          <w:bCs/>
          <w:sz w:val="18"/>
          <w:szCs w:val="18"/>
          <w:lang w:val="en-US" w:eastAsia="zh-CN"/>
        </w:rPr>
      </w:pPr>
      <w:r>
        <w:rPr>
          <w:rFonts w:hint="eastAsia" w:ascii="Times New Roman" w:hAnsi="Times New Roman"/>
          <w:bCs/>
          <w:sz w:val="18"/>
          <w:szCs w:val="18"/>
        </w:rPr>
        <w:t>收稿日期：</w:t>
      </w:r>
      <w:r>
        <w:rPr>
          <w:rFonts w:hint="eastAsia" w:ascii="Times New Roman" w:hAnsi="Times New Roman"/>
          <w:bCs/>
          <w:sz w:val="18"/>
          <w:szCs w:val="18"/>
          <w:lang w:val="en-US" w:eastAsia="zh-CN"/>
        </w:rPr>
        <w:t>2018年06月27日</w:t>
      </w:r>
    </w:p>
    <w:p>
      <w:pPr>
        <w:rPr>
          <w:rFonts w:ascii="Times New Roman" w:hAnsi="Times New Roman"/>
          <w:sz w:val="18"/>
          <w:szCs w:val="18"/>
        </w:rPr>
      </w:pPr>
      <w:r>
        <w:rPr>
          <w:rFonts w:ascii="Times New Roman" w:hAnsi="Times New Roman"/>
          <w:bCs/>
          <w:sz w:val="18"/>
          <w:szCs w:val="18"/>
        </w:rPr>
        <w:t>作者简介</w:t>
      </w:r>
      <w:r>
        <w:rPr>
          <w:rFonts w:ascii="Times New Roman" w:hAnsi="Times New Roman"/>
          <w:sz w:val="18"/>
          <w:szCs w:val="18"/>
        </w:rPr>
        <w:t>：陈知武（1978—），男，辽宁大连人，副教授，硕士</w:t>
      </w:r>
      <w:r>
        <w:rPr>
          <w:rFonts w:hint="eastAsia" w:ascii="Times New Roman" w:hAnsi="Times New Roman"/>
          <w:sz w:val="18"/>
          <w:szCs w:val="18"/>
          <w:lang w:eastAsia="zh-CN"/>
        </w:rPr>
        <w:t>，</w:t>
      </w:r>
      <w:r>
        <w:rPr>
          <w:rFonts w:ascii="Times New Roman" w:hAnsi="Times New Roman"/>
          <w:sz w:val="18"/>
          <w:szCs w:val="18"/>
        </w:rPr>
        <w:t>研究方向：外语教学法。</w:t>
      </w:r>
    </w:p>
    <w:p>
      <w:pPr>
        <w:rPr>
          <w:rFonts w:hint="eastAsia" w:ascii="宋体" w:hAnsi="宋体" w:cs="宋体"/>
          <w:szCs w:val="21"/>
        </w:rPr>
      </w:pPr>
      <w:r>
        <w:rPr>
          <w:rFonts w:hint="eastAsia" w:ascii="Times New Roman" w:hAnsi="Times New Roman"/>
          <w:sz w:val="18"/>
          <w:szCs w:val="18"/>
          <w:lang w:eastAsia="zh-CN"/>
        </w:rPr>
        <w:t>基金项目：</w:t>
      </w:r>
      <w:r>
        <w:rPr>
          <w:rFonts w:ascii="Times New Roman" w:hAnsi="Times New Roman"/>
          <w:sz w:val="18"/>
          <w:szCs w:val="18"/>
        </w:rPr>
        <w:t>2016年度辽宁省普通高等教育本科教学改革研究项目“基于微课的大学外语公选课翻转课堂教学模式研究与实践”（项目编号：UPRP20160677）。</w:t>
      </w:r>
    </w:p>
    <w:p>
      <w:pPr>
        <w:spacing w:line="400" w:lineRule="exact"/>
        <w:ind w:firstLine="420" w:firstLineChars="200"/>
        <w:rPr>
          <w:rFonts w:ascii="宋体" w:cs="宋体"/>
          <w:szCs w:val="21"/>
        </w:rPr>
      </w:pPr>
      <w:r>
        <w:rPr>
          <w:rFonts w:hint="eastAsia" w:ascii="宋体" w:hAnsi="宋体" w:cs="宋体"/>
          <w:szCs w:val="21"/>
        </w:rPr>
        <w:t>国内有关思辨能力的研究近年来呈现出快速发展的态势。在思辨能力模型构建方面，林崇德提出了三棱结构模型，文秋芳提出了层级模型。这对国内的思辨能力的后续研究打下了良好的研究基础。在思辨能力量具方面，文秋芳教授对思辨能力在外语教学方面的量化已经取得了一定的研究成果</w:t>
      </w:r>
      <w:r>
        <w:rPr>
          <w:rFonts w:eastAsia="MS Mincho"/>
          <w:vertAlign w:val="superscript"/>
        </w:rPr>
        <w:t>[</w:t>
      </w:r>
      <w:r>
        <w:rPr>
          <w:vertAlign w:val="superscript"/>
        </w:rPr>
        <w:t>6</w:t>
      </w:r>
      <w:r>
        <w:rPr>
          <w:rFonts w:eastAsia="MS Mincho"/>
          <w:vertAlign w:val="superscript"/>
        </w:rPr>
        <w:t>]</w:t>
      </w:r>
      <w:r>
        <w:rPr>
          <w:rFonts w:hint="eastAsia" w:ascii="宋体" w:hAnsi="宋体" w:cs="宋体"/>
          <w:szCs w:val="21"/>
        </w:rPr>
        <w:t>。除此之外，大量的学者从实际教学的角度，主张通过在课程设置、教学目标、考核方式和教学方法等方面进行改革来培养和提高学生的思辨能力。还有学者从具体学科的课堂教学层面进行了研究，如阮周林和李莉文从写作教学的角度出发，设计教学环节，对学习者的思维能力培养方面进行了尝试，取得了一定的研究成果</w:t>
      </w:r>
      <w:r>
        <w:rPr>
          <w:rFonts w:eastAsia="MS Mincho"/>
          <w:vertAlign w:val="superscript"/>
        </w:rPr>
        <w:t>[</w:t>
      </w:r>
      <w:r>
        <w:rPr>
          <w:vertAlign w:val="superscript"/>
        </w:rPr>
        <w:t>7</w:t>
      </w:r>
      <w:r>
        <w:rPr>
          <w:rFonts w:eastAsia="MS Mincho"/>
          <w:vertAlign w:val="superscript"/>
        </w:rPr>
        <w:t>]</w:t>
      </w:r>
      <w:r>
        <w:rPr>
          <w:rFonts w:hint="eastAsia" w:ascii="宋体" w:hAnsi="宋体" w:cs="宋体"/>
          <w:szCs w:val="21"/>
        </w:rPr>
        <w:t>。</w:t>
      </w:r>
    </w:p>
    <w:p>
      <w:pPr>
        <w:spacing w:line="400" w:lineRule="exact"/>
        <w:ind w:firstLine="482" w:firstLineChars="200"/>
        <w:rPr>
          <w:rFonts w:ascii="宋体" w:cs="宋体"/>
          <w:b/>
          <w:bCs/>
          <w:sz w:val="24"/>
        </w:rPr>
      </w:pPr>
      <w:r>
        <w:rPr>
          <w:rFonts w:hint="eastAsia" w:ascii="宋体" w:hAnsi="宋体" w:cs="宋体"/>
          <w:b/>
          <w:bCs/>
          <w:sz w:val="24"/>
        </w:rPr>
        <w:t>二、</w:t>
      </w:r>
      <w:r>
        <w:rPr>
          <w:rFonts w:ascii="宋体" w:hAnsi="宋体" w:cs="宋体"/>
          <w:b/>
          <w:bCs/>
          <w:sz w:val="24"/>
        </w:rPr>
        <w:t xml:space="preserve"> </w:t>
      </w:r>
      <w:r>
        <w:rPr>
          <w:rFonts w:hint="eastAsia" w:ascii="宋体" w:hAnsi="宋体" w:cs="宋体"/>
          <w:b/>
          <w:bCs/>
          <w:sz w:val="24"/>
        </w:rPr>
        <w:t>外语教学设计的种类</w:t>
      </w:r>
    </w:p>
    <w:p>
      <w:pPr>
        <w:spacing w:line="400" w:lineRule="exact"/>
        <w:ind w:firstLine="422" w:firstLineChars="200"/>
        <w:rPr>
          <w:rFonts w:ascii="宋体" w:cs="宋体"/>
          <w:b/>
          <w:bCs/>
          <w:szCs w:val="21"/>
        </w:rPr>
      </w:pPr>
      <w:r>
        <w:rPr>
          <w:rFonts w:hint="eastAsia" w:ascii="宋体" w:hAnsi="宋体" w:cs="宋体"/>
          <w:b/>
          <w:bCs/>
          <w:szCs w:val="21"/>
        </w:rPr>
        <w:t>（一）教材权威型</w:t>
      </w:r>
    </w:p>
    <w:p>
      <w:pPr>
        <w:spacing w:line="400" w:lineRule="exact"/>
        <w:ind w:firstLine="420" w:firstLineChars="200"/>
        <w:rPr>
          <w:rFonts w:ascii="宋体" w:cs="宋体"/>
          <w:szCs w:val="21"/>
        </w:rPr>
      </w:pPr>
      <w:r>
        <w:rPr>
          <w:rFonts w:hint="eastAsia" w:ascii="宋体" w:hAnsi="宋体" w:cs="宋体"/>
          <w:szCs w:val="21"/>
        </w:rPr>
        <w:t>此种教学设计把教材作为知识的重要来源，教师在授课时主要按照教材的规划内容组织教学。这种教学设计可供师生发挥能力的空间有限，大多数教学管理部门并不十分认同，但如果选择的教材比较先进，可以使教师节约大量时间和精力。外语教材一般要遵循一定的逻辑顺序和语言的难易程度来安排教学进度。高质量的外语教材，学习内容不仅注重对学生外语技能的培养，同时在学生个人素养和创新能力方面也给予相当比例的考量。所以在使用高质量外语教材的前提下，教材权威型教学理念有一定的优势。</w:t>
      </w:r>
    </w:p>
    <w:p>
      <w:pPr>
        <w:spacing w:line="400" w:lineRule="exact"/>
        <w:ind w:firstLine="422" w:firstLineChars="200"/>
        <w:rPr>
          <w:rFonts w:ascii="宋体" w:cs="宋体"/>
          <w:b/>
          <w:bCs/>
          <w:szCs w:val="21"/>
        </w:rPr>
      </w:pPr>
      <w:r>
        <w:rPr>
          <w:rFonts w:hint="eastAsia" w:ascii="宋体" w:hAnsi="宋体" w:cs="宋体"/>
          <w:b/>
          <w:bCs/>
          <w:szCs w:val="21"/>
        </w:rPr>
        <w:t>（二）知识获取型</w:t>
      </w:r>
    </w:p>
    <w:p>
      <w:pPr>
        <w:spacing w:line="400" w:lineRule="exact"/>
        <w:ind w:firstLine="420" w:firstLineChars="200"/>
        <w:rPr>
          <w:rFonts w:ascii="宋体" w:cs="宋体"/>
          <w:szCs w:val="21"/>
        </w:rPr>
      </w:pPr>
      <w:r>
        <w:rPr>
          <w:rFonts w:hint="eastAsia" w:ascii="宋体" w:hAnsi="宋体" w:cs="宋体"/>
          <w:szCs w:val="21"/>
        </w:rPr>
        <w:t>这种教学理念认为，教学的主要目的是帮助学生获取知识。教师应采取一切手段使学生理解掌握语言知识，并且学会灵活应用。教学过程中多采取解释说明、问答、讨论和测验练习等教学手段，增强学生记忆效果。传统的外语教学大多数以此种教学模式为主。</w:t>
      </w:r>
    </w:p>
    <w:p>
      <w:pPr>
        <w:spacing w:line="400" w:lineRule="exact"/>
        <w:ind w:firstLine="422" w:firstLineChars="200"/>
        <w:rPr>
          <w:rFonts w:ascii="宋体" w:cs="宋体"/>
          <w:b/>
          <w:bCs/>
          <w:szCs w:val="21"/>
        </w:rPr>
      </w:pPr>
      <w:r>
        <w:rPr>
          <w:rFonts w:hint="eastAsia" w:ascii="宋体" w:hAnsi="宋体" w:cs="宋体"/>
          <w:b/>
          <w:bCs/>
          <w:szCs w:val="21"/>
        </w:rPr>
        <w:t>（三）技能训练型</w:t>
      </w:r>
    </w:p>
    <w:p>
      <w:pPr>
        <w:spacing w:line="400" w:lineRule="exact"/>
        <w:ind w:firstLine="420" w:firstLineChars="200"/>
        <w:rPr>
          <w:rFonts w:ascii="宋体" w:cs="宋体"/>
          <w:szCs w:val="21"/>
        </w:rPr>
      </w:pPr>
      <w:r>
        <w:rPr>
          <w:rFonts w:hint="eastAsia" w:ascii="宋体" w:hAnsi="宋体" w:cs="宋体"/>
          <w:szCs w:val="21"/>
        </w:rPr>
        <w:t>技能训练型教学设计把教学看作是一种程序，在教学过程中实践训练占有重要地位。通过大量言语行动，帮助学生掌握外语技能。此种教学理念对培养学生的外语实际应用能力方面作用明显。</w:t>
      </w:r>
    </w:p>
    <w:p>
      <w:pPr>
        <w:spacing w:line="400" w:lineRule="exact"/>
        <w:ind w:firstLine="422" w:firstLineChars="200"/>
        <w:rPr>
          <w:rFonts w:ascii="宋体" w:cs="宋体"/>
          <w:b/>
          <w:bCs/>
          <w:szCs w:val="21"/>
        </w:rPr>
      </w:pPr>
      <w:r>
        <w:rPr>
          <w:rFonts w:hint="eastAsia" w:ascii="宋体" w:hAnsi="宋体" w:cs="宋体"/>
          <w:b/>
          <w:bCs/>
          <w:szCs w:val="21"/>
        </w:rPr>
        <w:t>（四）经历体验型</w:t>
      </w:r>
    </w:p>
    <w:p>
      <w:pPr>
        <w:spacing w:line="400" w:lineRule="exact"/>
        <w:ind w:firstLine="420" w:firstLineChars="200"/>
        <w:rPr>
          <w:rFonts w:ascii="宋体" w:cs="宋体"/>
          <w:szCs w:val="21"/>
        </w:rPr>
      </w:pPr>
      <w:r>
        <w:rPr>
          <w:rFonts w:hint="eastAsia" w:ascii="宋体" w:hAnsi="宋体" w:cs="宋体"/>
          <w:szCs w:val="21"/>
        </w:rPr>
        <w:t>这种教学设计强调学生的主观能动性，把教学看作一种体验过程，充分挖掘学生自主学习潜能。其基本理念是让学生在教师的指导下，自行设计教学案例，课堂进行成果展示，师生共同评价。经历体验型教学方法在培养学生的创新能力和思辨能力方面具有积极作用。</w:t>
      </w:r>
    </w:p>
    <w:p>
      <w:pPr>
        <w:spacing w:line="400" w:lineRule="exact"/>
        <w:ind w:firstLine="422" w:firstLineChars="200"/>
        <w:rPr>
          <w:rFonts w:ascii="宋体" w:cs="宋体"/>
          <w:b/>
          <w:bCs/>
          <w:szCs w:val="21"/>
        </w:rPr>
      </w:pPr>
      <w:r>
        <w:rPr>
          <w:rFonts w:hint="eastAsia" w:ascii="宋体" w:hAnsi="宋体" w:cs="宋体"/>
          <w:b/>
          <w:bCs/>
          <w:szCs w:val="21"/>
        </w:rPr>
        <w:t>（五）资源发展型</w:t>
      </w:r>
    </w:p>
    <w:p>
      <w:pPr>
        <w:spacing w:line="400" w:lineRule="exact"/>
        <w:ind w:firstLine="420" w:firstLineChars="200"/>
        <w:rPr>
          <w:rFonts w:ascii="宋体" w:cs="宋体"/>
          <w:szCs w:val="21"/>
        </w:rPr>
      </w:pPr>
      <w:r>
        <w:rPr>
          <w:rFonts w:hint="eastAsia" w:ascii="宋体" w:hAnsi="宋体" w:cs="宋体"/>
          <w:szCs w:val="21"/>
        </w:rPr>
        <w:t>这种教学设计以培养学生的可持续发展能力为教学目的。教学过程中，针对学生的下一步发展目标，提供教学指导。教学的方法和程序呈现综合化特点，针对学生的具体情况，实施个性化和多元化教学内容，为学生继续深造或步入社会提供有效帮助。</w:t>
      </w:r>
    </w:p>
    <w:p>
      <w:pPr>
        <w:spacing w:line="400" w:lineRule="exact"/>
        <w:ind w:firstLine="482" w:firstLineChars="200"/>
        <w:rPr>
          <w:rFonts w:ascii="宋体" w:cs="宋体"/>
          <w:b/>
          <w:bCs/>
          <w:sz w:val="24"/>
        </w:rPr>
      </w:pPr>
      <w:r>
        <w:rPr>
          <w:rFonts w:hint="eastAsia" w:ascii="宋体" w:hAnsi="宋体" w:cs="宋体"/>
          <w:b/>
          <w:bCs/>
          <w:sz w:val="24"/>
        </w:rPr>
        <w:t>三、选择教学模态的原则</w:t>
      </w:r>
    </w:p>
    <w:p>
      <w:pPr>
        <w:spacing w:line="400" w:lineRule="exact"/>
        <w:ind w:firstLine="420" w:firstLineChars="200"/>
        <w:rPr>
          <w:rFonts w:ascii="宋体" w:cs="宋体"/>
          <w:szCs w:val="21"/>
        </w:rPr>
      </w:pPr>
      <w:r>
        <w:rPr>
          <w:rFonts w:hint="eastAsia" w:ascii="宋体" w:hAnsi="宋体" w:cs="宋体"/>
          <w:szCs w:val="21"/>
        </w:rPr>
        <w:t>选择教学模态的原则是为了取得更好的教学效果。这就是虽然多媒体设备价钱不菲，而各大高校都会最大限度使用现代媒体技术手段进行授课的原因。在取得最佳效果的前提下，模态选择时，还需注意三个相互关联的原则：有效原则、适配原则和经济原则</w:t>
      </w:r>
      <w:r>
        <w:rPr>
          <w:rFonts w:eastAsia="MS Mincho"/>
          <w:vertAlign w:val="superscript"/>
        </w:rPr>
        <w:t>[</w:t>
      </w:r>
      <w:r>
        <w:rPr>
          <w:vertAlign w:val="superscript"/>
        </w:rPr>
        <w:t>8</w:t>
      </w:r>
      <w:r>
        <w:rPr>
          <w:rFonts w:eastAsia="MS Mincho"/>
          <w:vertAlign w:val="superscript"/>
        </w:rPr>
        <w:t>]</w:t>
      </w:r>
      <w:r>
        <w:rPr>
          <w:rFonts w:hint="eastAsia" w:ascii="宋体" w:hAnsi="宋体" w:cs="宋体"/>
          <w:szCs w:val="21"/>
        </w:rPr>
        <w:t>。</w:t>
      </w:r>
    </w:p>
    <w:p>
      <w:pPr>
        <w:spacing w:line="400" w:lineRule="exact"/>
        <w:ind w:firstLine="422" w:firstLineChars="200"/>
        <w:rPr>
          <w:rFonts w:ascii="宋体" w:cs="宋体"/>
          <w:b/>
          <w:bCs/>
          <w:szCs w:val="21"/>
        </w:rPr>
      </w:pPr>
      <w:r>
        <w:rPr>
          <w:rFonts w:hint="eastAsia" w:ascii="宋体" w:hAnsi="宋体" w:cs="宋体"/>
          <w:b/>
          <w:bCs/>
          <w:szCs w:val="21"/>
        </w:rPr>
        <w:t>（一）经济原则</w:t>
      </w:r>
    </w:p>
    <w:p>
      <w:pPr>
        <w:spacing w:line="400" w:lineRule="exact"/>
        <w:ind w:firstLine="420" w:firstLineChars="200"/>
        <w:rPr>
          <w:rFonts w:ascii="宋体" w:cs="宋体"/>
          <w:szCs w:val="21"/>
        </w:rPr>
      </w:pPr>
      <w:r>
        <w:rPr>
          <w:rFonts w:hint="eastAsia" w:ascii="宋体" w:hAnsi="宋体" w:cs="宋体"/>
          <w:szCs w:val="21"/>
        </w:rPr>
        <w:t>经济原则指的是：力求用最小的投入，获得最大的回报。由于每所学校的财力各不相同，在选择教学模态时，经济原则是不得不首先考虑的一个重要原则。</w:t>
      </w:r>
    </w:p>
    <w:p>
      <w:pPr>
        <w:spacing w:line="400" w:lineRule="exact"/>
        <w:ind w:firstLine="422" w:firstLineChars="200"/>
        <w:rPr>
          <w:rFonts w:ascii="宋体" w:cs="宋体"/>
          <w:b/>
          <w:bCs/>
          <w:szCs w:val="21"/>
        </w:rPr>
      </w:pPr>
      <w:r>
        <w:rPr>
          <w:rFonts w:hint="eastAsia" w:ascii="宋体" w:hAnsi="宋体" w:cs="宋体"/>
          <w:b/>
          <w:bCs/>
          <w:szCs w:val="21"/>
        </w:rPr>
        <w:t>（二）有效原则</w:t>
      </w:r>
    </w:p>
    <w:p>
      <w:pPr>
        <w:spacing w:line="400" w:lineRule="exact"/>
        <w:ind w:firstLine="420" w:firstLineChars="200"/>
        <w:rPr>
          <w:rFonts w:ascii="宋体" w:cs="宋体"/>
          <w:szCs w:val="21"/>
        </w:rPr>
      </w:pPr>
      <w:r>
        <w:rPr>
          <w:rFonts w:hint="eastAsia" w:ascii="宋体" w:hAnsi="宋体" w:cs="宋体"/>
          <w:szCs w:val="21"/>
        </w:rPr>
        <w:t>用多种模态来讲解同一内容能够强化记忆，但有时也会分散学生的注意力，从而降低教学效果。所以在选择教学模态时，应以取得更好的教学效果为前提，并不是说模态应用的种类越多课堂效果就越精彩。有效原则包括两个次级原则：工具原则和引发原则。</w:t>
      </w:r>
    </w:p>
    <w:p>
      <w:pPr>
        <w:spacing w:line="400" w:lineRule="exact"/>
        <w:ind w:firstLine="422" w:firstLineChars="200"/>
        <w:rPr>
          <w:rFonts w:ascii="宋体" w:cs="宋体"/>
          <w:b/>
          <w:bCs/>
          <w:szCs w:val="21"/>
        </w:rPr>
      </w:pPr>
      <w:r>
        <w:rPr>
          <w:rFonts w:hint="eastAsia" w:ascii="宋体" w:hAnsi="宋体" w:cs="宋体"/>
          <w:b/>
          <w:bCs/>
          <w:szCs w:val="21"/>
        </w:rPr>
        <w:t>（三）适配原则</w:t>
      </w:r>
    </w:p>
    <w:p>
      <w:pPr>
        <w:spacing w:line="400" w:lineRule="exact"/>
        <w:ind w:firstLine="420" w:firstLineChars="200"/>
        <w:rPr>
          <w:rFonts w:ascii="宋体" w:cs="宋体"/>
          <w:szCs w:val="21"/>
        </w:rPr>
      </w:pPr>
      <w:r>
        <w:rPr>
          <w:rFonts w:hint="eastAsia" w:ascii="宋体" w:hAnsi="宋体" w:cs="宋体"/>
          <w:szCs w:val="21"/>
        </w:rPr>
        <w:t>每个独立的教学模态都可以产生积极的正面效应，但同时运用多种模态教学时，应注意相互之间的配合，避免模态之间相互干扰，从而降低总体效应。比如，口头讲解和角色扮演都是有效的教学模态，但在角色扮演的过程中，教师穿插进行口头讲解，将会使两种模态相互产生负面影响，不利于学生语言技能的培养。适配原则有三个次级原则，分别是强化原则、协调原则和抽象具体原则。</w:t>
      </w:r>
    </w:p>
    <w:p>
      <w:pPr>
        <w:spacing w:line="400" w:lineRule="exact"/>
        <w:ind w:firstLine="2940" w:firstLineChars="1400"/>
        <w:rPr>
          <w:rFonts w:ascii="宋体" w:cs="宋体"/>
          <w:szCs w:val="21"/>
        </w:rPr>
      </w:pPr>
      <w:r>
        <w:rPr>
          <w:rFonts w:hint="eastAsia" w:ascii="宋体" w:hAnsi="宋体" w:cs="宋体"/>
          <w:szCs w:val="21"/>
        </w:rPr>
        <w:t>表</w:t>
      </w:r>
      <w:r>
        <w:rPr>
          <w:rFonts w:ascii="宋体" w:hAnsi="宋体" w:cs="宋体"/>
          <w:szCs w:val="21"/>
        </w:rPr>
        <w:t xml:space="preserve">1 </w:t>
      </w:r>
      <w:r>
        <w:rPr>
          <w:rFonts w:hint="eastAsia" w:ascii="宋体" w:hAnsi="宋体" w:cs="宋体"/>
          <w:szCs w:val="21"/>
        </w:rPr>
        <w:t>选择教学模态的原则</w:t>
      </w:r>
    </w:p>
    <w:tbl>
      <w:tblPr>
        <w:tblStyle w:val="4"/>
        <w:tblW w:w="852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717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44" w:type="dxa"/>
          </w:tcPr>
          <w:p>
            <w:pPr>
              <w:spacing w:line="400" w:lineRule="exact"/>
              <w:rPr>
                <w:rFonts w:ascii="宋体" w:hAnsi="宋体" w:cs="宋体"/>
                <w:szCs w:val="21"/>
              </w:rPr>
            </w:pPr>
            <w:r>
              <w:rPr>
                <w:rFonts w:hint="eastAsia" w:ascii="宋体" w:hAnsi="宋体" w:cs="宋体"/>
                <w:szCs w:val="21"/>
              </w:rPr>
              <w:t>经济原则</w:t>
            </w:r>
          </w:p>
        </w:tc>
        <w:tc>
          <w:tcPr>
            <w:tcW w:w="7178" w:type="dxa"/>
          </w:tcPr>
          <w:p>
            <w:pPr>
              <w:spacing w:line="400" w:lineRule="exact"/>
              <w:rPr>
                <w:rFonts w:ascii="宋体" w:hAnsi="宋体" w:cs="宋体"/>
                <w:szCs w:val="21"/>
              </w:rPr>
            </w:pPr>
            <w:r>
              <w:rPr>
                <w:rFonts w:hint="eastAsia" w:ascii="宋体" w:hAnsi="宋体" w:cs="宋体"/>
                <w:szCs w:val="21"/>
              </w:rPr>
              <w:t>力求用最小的投入，获得最大的回报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44" w:type="dxa"/>
            <w:vMerge w:val="restart"/>
          </w:tcPr>
          <w:p>
            <w:pPr>
              <w:spacing w:line="400" w:lineRule="exact"/>
              <w:rPr>
                <w:rFonts w:ascii="宋体" w:hAnsi="宋体" w:cs="宋体"/>
                <w:szCs w:val="21"/>
              </w:rPr>
            </w:pPr>
            <w:r>
              <w:rPr>
                <w:rFonts w:hint="eastAsia" w:ascii="宋体" w:hAnsi="宋体" w:cs="宋体"/>
                <w:szCs w:val="21"/>
              </w:rPr>
              <w:t>有效原则</w:t>
            </w:r>
          </w:p>
        </w:tc>
        <w:tc>
          <w:tcPr>
            <w:tcW w:w="7178" w:type="dxa"/>
          </w:tcPr>
          <w:p>
            <w:pPr>
              <w:spacing w:line="400" w:lineRule="exact"/>
              <w:rPr>
                <w:rFonts w:ascii="宋体" w:hAnsi="宋体" w:cs="宋体"/>
                <w:szCs w:val="21"/>
              </w:rPr>
            </w:pPr>
            <w:r>
              <w:rPr>
                <w:rFonts w:hint="eastAsia" w:ascii="宋体" w:hAnsi="宋体" w:cs="宋体"/>
                <w:szCs w:val="21"/>
              </w:rPr>
              <w:t>工具原则</w:t>
            </w:r>
            <w:r>
              <w:rPr>
                <w:rFonts w:ascii="宋体" w:hAnsi="宋体" w:cs="宋体"/>
                <w:szCs w:val="21"/>
              </w:rPr>
              <w:t>:</w:t>
            </w:r>
            <w:r>
              <w:rPr>
                <w:rFonts w:hint="eastAsia" w:ascii="宋体" w:hAnsi="宋体" w:cs="宋体"/>
                <w:szCs w:val="21"/>
              </w:rPr>
              <w:t>外语课堂教学虽不是真实的社会交际环境，但通过多媒体等教学工具可以观摩到真实的语言情境，使学生最大限度地有身临其境的感受，从而达到最佳教学效果。充分利用多媒体技术工具提供的声音、图像以及影像等资料，展示真实语境的实际情况，让语言知识和技能具体化形象化，对培养学生的语言交际能力将起到更加有效的积极作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44" w:type="dxa"/>
            <w:vMerge w:val="continue"/>
          </w:tcPr>
          <w:p>
            <w:pPr>
              <w:spacing w:line="400" w:lineRule="exact"/>
              <w:rPr>
                <w:rFonts w:ascii="宋体" w:hAnsi="宋体" w:cs="宋体"/>
                <w:szCs w:val="21"/>
              </w:rPr>
            </w:pPr>
          </w:p>
        </w:tc>
        <w:tc>
          <w:tcPr>
            <w:tcW w:w="7178" w:type="dxa"/>
          </w:tcPr>
          <w:p>
            <w:pPr>
              <w:spacing w:line="400" w:lineRule="exact"/>
              <w:rPr>
                <w:rFonts w:ascii="宋体" w:hAnsi="宋体" w:cs="宋体"/>
                <w:szCs w:val="21"/>
              </w:rPr>
            </w:pPr>
            <w:r>
              <w:rPr>
                <w:rFonts w:hint="eastAsia" w:ascii="宋体" w:hAnsi="宋体" w:cs="宋体"/>
                <w:szCs w:val="21"/>
              </w:rPr>
              <w:t>引发原则</w:t>
            </w:r>
            <w:r>
              <w:rPr>
                <w:rFonts w:ascii="宋体" w:hAnsi="宋体" w:cs="宋体"/>
                <w:szCs w:val="21"/>
              </w:rPr>
              <w:t>:</w:t>
            </w:r>
            <w:r>
              <w:rPr>
                <w:rFonts w:hint="eastAsia" w:ascii="宋体" w:hAnsi="宋体" w:cs="宋体"/>
                <w:szCs w:val="21"/>
              </w:rPr>
              <w:t>指的是通过提供感官上的刺激因素，诱发学生的好奇心，激起其学习兴趣和动力。例如在</w:t>
            </w:r>
            <w:r>
              <w:rPr>
                <w:rFonts w:ascii="宋体" w:hAnsi="宋体" w:cs="宋体"/>
                <w:szCs w:val="21"/>
              </w:rPr>
              <w:t>PPT</w:t>
            </w:r>
            <w:r>
              <w:rPr>
                <w:rFonts w:hint="eastAsia" w:ascii="宋体" w:hAnsi="宋体" w:cs="宋体"/>
                <w:szCs w:val="21"/>
              </w:rPr>
              <w:t>制作时，把需要强调的重点文字特殊处理，加粗或者应用艺术处理，醒目的表记可以引起学生的注意。也可以提供优美的图片或者影像，激发学生的参与热情，活跃课堂氛围，更加有利于教学任务的实施与开展。</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44" w:type="dxa"/>
            <w:vMerge w:val="restart"/>
          </w:tcPr>
          <w:p>
            <w:pPr>
              <w:spacing w:line="400" w:lineRule="exact"/>
              <w:rPr>
                <w:rFonts w:ascii="宋体" w:hAnsi="宋体" w:cs="宋体"/>
                <w:szCs w:val="21"/>
              </w:rPr>
            </w:pPr>
            <w:r>
              <w:rPr>
                <w:rFonts w:hint="eastAsia" w:ascii="宋体" w:hAnsi="宋体" w:cs="宋体"/>
                <w:szCs w:val="21"/>
              </w:rPr>
              <w:t>适配原则</w:t>
            </w:r>
          </w:p>
        </w:tc>
        <w:tc>
          <w:tcPr>
            <w:tcW w:w="7178" w:type="dxa"/>
          </w:tcPr>
          <w:p>
            <w:pPr>
              <w:spacing w:line="400" w:lineRule="exact"/>
              <w:rPr>
                <w:rFonts w:ascii="宋体" w:hAnsi="宋体" w:cs="宋体"/>
                <w:szCs w:val="21"/>
              </w:rPr>
            </w:pPr>
            <w:r>
              <w:rPr>
                <w:rFonts w:hint="eastAsia" w:ascii="宋体" w:hAnsi="宋体" w:cs="宋体"/>
                <w:szCs w:val="21"/>
              </w:rPr>
              <w:t>强化原则</w:t>
            </w:r>
            <w:r>
              <w:rPr>
                <w:rFonts w:ascii="宋体" w:hAnsi="宋体" w:cs="宋体"/>
                <w:szCs w:val="21"/>
              </w:rPr>
              <w:t>:</w:t>
            </w:r>
            <w:r>
              <w:rPr>
                <w:rFonts w:hint="eastAsia" w:ascii="宋体" w:hAnsi="宋体" w:cs="宋体"/>
                <w:szCs w:val="21"/>
              </w:rPr>
              <w:t>指的是选择两种模态同时教学时，以一种为主要的教学模态，其他模态作为强化手段使用。例如，讲解文字资料时，辅以图片说明，会起到积极的强化作用。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44" w:type="dxa"/>
            <w:vMerge w:val="continue"/>
          </w:tcPr>
          <w:p>
            <w:pPr>
              <w:spacing w:line="400" w:lineRule="exact"/>
              <w:rPr>
                <w:rFonts w:ascii="宋体" w:hAnsi="宋体" w:cs="宋体"/>
                <w:szCs w:val="21"/>
              </w:rPr>
            </w:pPr>
          </w:p>
        </w:tc>
        <w:tc>
          <w:tcPr>
            <w:tcW w:w="7178" w:type="dxa"/>
          </w:tcPr>
          <w:p>
            <w:pPr>
              <w:spacing w:line="400" w:lineRule="exact"/>
              <w:rPr>
                <w:rFonts w:ascii="宋体" w:hAnsi="宋体" w:cs="宋体"/>
                <w:szCs w:val="21"/>
              </w:rPr>
            </w:pPr>
            <w:r>
              <w:rPr>
                <w:rFonts w:hint="eastAsia" w:ascii="宋体" w:hAnsi="宋体" w:cs="宋体"/>
                <w:szCs w:val="21"/>
              </w:rPr>
              <w:t>协调原则</w:t>
            </w:r>
            <w:r>
              <w:rPr>
                <w:rFonts w:ascii="宋体" w:hAnsi="宋体" w:cs="宋体"/>
                <w:szCs w:val="21"/>
              </w:rPr>
              <w:t>:</w:t>
            </w:r>
            <w:r>
              <w:rPr>
                <w:rFonts w:hint="eastAsia" w:ascii="宋体" w:hAnsi="宋体" w:cs="宋体"/>
                <w:szCs w:val="21"/>
              </w:rPr>
              <w:t>在教学中应用多种模态的场合，要考虑模态之间的协调性。即一种模态不能充分独立完成教学目标时，可以由其他模态进行有效补充，共同高效地完成教学任务。例如观看影像资料时，辅以母语及外语的字幕，将会加深学生的记忆效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44" w:type="dxa"/>
            <w:vMerge w:val="continue"/>
          </w:tcPr>
          <w:p>
            <w:pPr>
              <w:spacing w:line="400" w:lineRule="exact"/>
              <w:rPr>
                <w:rFonts w:ascii="宋体" w:hAnsi="宋体" w:cs="宋体"/>
                <w:szCs w:val="21"/>
              </w:rPr>
            </w:pPr>
          </w:p>
        </w:tc>
        <w:tc>
          <w:tcPr>
            <w:tcW w:w="7178" w:type="dxa"/>
          </w:tcPr>
          <w:p>
            <w:pPr>
              <w:spacing w:line="400" w:lineRule="exact"/>
              <w:rPr>
                <w:rFonts w:ascii="宋体" w:hAnsi="宋体" w:cs="宋体"/>
                <w:szCs w:val="21"/>
              </w:rPr>
            </w:pPr>
            <w:r>
              <w:rPr>
                <w:rFonts w:hint="eastAsia" w:ascii="宋体" w:hAnsi="宋体" w:cs="宋体"/>
                <w:szCs w:val="21"/>
              </w:rPr>
              <w:t>抽象具体原则：在教学过中，所使用的教学模态如果比较抽象，学生理解起来难度相对较大的场合，可以用一种比较直观和具体的教学模态进行补充说明。例如在讲解文化礼仪时，阐述完理论知识后，可以让学生分角色扮演，这样能够取得更加直观的教学效果。</w:t>
            </w:r>
          </w:p>
        </w:tc>
      </w:tr>
    </w:tbl>
    <w:p>
      <w:pPr>
        <w:tabs>
          <w:tab w:val="left" w:pos="2525"/>
          <w:tab w:val="center" w:pos="4153"/>
        </w:tabs>
        <w:spacing w:line="400" w:lineRule="exact"/>
        <w:ind w:firstLine="482" w:firstLineChars="200"/>
        <w:jc w:val="left"/>
        <w:rPr>
          <w:rFonts w:ascii="宋体" w:cs="宋体"/>
          <w:b/>
          <w:bCs/>
          <w:sz w:val="24"/>
        </w:rPr>
      </w:pPr>
      <w:r>
        <w:rPr>
          <w:rFonts w:hint="eastAsia" w:ascii="宋体" w:hAnsi="宋体" w:cs="宋体"/>
          <w:b/>
          <w:bCs/>
          <w:sz w:val="24"/>
        </w:rPr>
        <w:t>四、思维发展特点及思维品质的评价标准</w:t>
      </w:r>
    </w:p>
    <w:p>
      <w:pPr>
        <w:tabs>
          <w:tab w:val="left" w:pos="2525"/>
          <w:tab w:val="center" w:pos="4153"/>
        </w:tabs>
        <w:spacing w:line="400" w:lineRule="exact"/>
        <w:ind w:firstLine="420" w:firstLineChars="200"/>
        <w:jc w:val="left"/>
        <w:rPr>
          <w:rFonts w:ascii="宋体" w:cs="宋体"/>
          <w:szCs w:val="21"/>
        </w:rPr>
      </w:pPr>
      <w:r>
        <w:rPr>
          <w:rFonts w:hint="eastAsia" w:ascii="宋体" w:hAnsi="宋体" w:cs="宋体"/>
          <w:szCs w:val="21"/>
        </w:rPr>
        <w:t>人类的智力具有两个特征，第一：能够成功地解决问题；第二：能够良好地适应周围环境。思维心理学认为，智力由思维、感知、记忆、想象、言语和操作技能组成，思维是智力的核心因素</w:t>
      </w:r>
      <w:r>
        <w:rPr>
          <w:rFonts w:eastAsia="MS Mincho"/>
          <w:vertAlign w:val="superscript"/>
        </w:rPr>
        <w:t>[</w:t>
      </w:r>
      <w:r>
        <w:rPr>
          <w:vertAlign w:val="superscript"/>
        </w:rPr>
        <w:t>9</w:t>
      </w:r>
      <w:r>
        <w:rPr>
          <w:rFonts w:eastAsia="MS Mincho"/>
          <w:vertAlign w:val="superscript"/>
        </w:rPr>
        <w:t>]</w:t>
      </w:r>
      <w:r>
        <w:rPr>
          <w:rFonts w:hint="eastAsia" w:ascii="宋体" w:hAnsi="宋体" w:cs="宋体"/>
          <w:szCs w:val="21"/>
        </w:rPr>
        <w:t>。随着年龄的增长，新的思维方式形成后会逐步代替原有的思维方式，从而由低级层次转变为高一级层次。虽然原有的思维方式并不会完全消失，但在个体运用思维能力解决问题时所占比例将会大幅度减少。</w:t>
      </w:r>
    </w:p>
    <w:p>
      <w:pPr>
        <w:tabs>
          <w:tab w:val="left" w:pos="2525"/>
          <w:tab w:val="center" w:pos="4153"/>
        </w:tabs>
        <w:spacing w:line="400" w:lineRule="exact"/>
        <w:ind w:firstLine="2520" w:firstLineChars="1200"/>
        <w:jc w:val="left"/>
        <w:rPr>
          <w:rFonts w:ascii="宋体" w:cs="宋体"/>
          <w:szCs w:val="21"/>
        </w:rPr>
      </w:pPr>
      <w:r>
        <w:rPr>
          <w:rFonts w:hint="eastAsia" w:ascii="宋体" w:hAnsi="宋体" w:cs="宋体"/>
          <w:szCs w:val="21"/>
        </w:rPr>
        <w:t>表</w:t>
      </w:r>
      <w:r>
        <w:rPr>
          <w:rFonts w:ascii="宋体" w:hAnsi="宋体" w:cs="宋体"/>
          <w:szCs w:val="21"/>
        </w:rPr>
        <w:t xml:space="preserve">2 </w:t>
      </w:r>
      <w:r>
        <w:rPr>
          <w:rFonts w:hint="eastAsia" w:ascii="宋体" w:hAnsi="宋体" w:cs="宋体"/>
          <w:szCs w:val="21"/>
        </w:rPr>
        <w:t>人类思维发展阶段</w:t>
      </w:r>
    </w:p>
    <w:tbl>
      <w:tblPr>
        <w:tblStyle w:val="4"/>
        <w:tblW w:w="7674"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1618"/>
        <w:gridCol w:w="1509"/>
        <w:gridCol w:w="218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365" w:type="dxa"/>
          </w:tcPr>
          <w:p>
            <w:pPr>
              <w:tabs>
                <w:tab w:val="left" w:pos="2525"/>
                <w:tab w:val="center" w:pos="4153"/>
              </w:tabs>
              <w:spacing w:line="400" w:lineRule="exact"/>
              <w:ind w:firstLine="420" w:firstLineChars="200"/>
              <w:jc w:val="left"/>
              <w:rPr>
                <w:rFonts w:ascii="宋体" w:hAnsi="宋体" w:cs="宋体"/>
                <w:szCs w:val="21"/>
              </w:rPr>
            </w:pPr>
            <w:r>
              <w:rPr>
                <w:rFonts w:hint="eastAsia" w:ascii="宋体" w:hAnsi="宋体" w:cs="宋体"/>
                <w:szCs w:val="21"/>
              </w:rPr>
              <w:t>思维等级</w:t>
            </w:r>
          </w:p>
        </w:tc>
        <w:tc>
          <w:tcPr>
            <w:tcW w:w="5309" w:type="dxa"/>
            <w:gridSpan w:val="3"/>
          </w:tcPr>
          <w:p>
            <w:pPr>
              <w:tabs>
                <w:tab w:val="left" w:pos="2525"/>
                <w:tab w:val="center" w:pos="4153"/>
              </w:tabs>
              <w:spacing w:line="400" w:lineRule="exact"/>
              <w:ind w:firstLine="1260" w:firstLineChars="600"/>
              <w:jc w:val="left"/>
              <w:rPr>
                <w:rFonts w:ascii="宋体" w:hAnsi="宋体" w:cs="宋体"/>
                <w:szCs w:val="21"/>
              </w:rPr>
            </w:pPr>
            <w:r>
              <w:rPr>
                <w:rFonts w:hint="eastAsia" w:ascii="宋体" w:hAnsi="宋体" w:cs="宋体"/>
                <w:szCs w:val="21"/>
              </w:rPr>
              <w:t>思维阶段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365" w:type="dxa"/>
          </w:tcPr>
          <w:p>
            <w:pPr>
              <w:tabs>
                <w:tab w:val="left" w:pos="2525"/>
                <w:tab w:val="center" w:pos="4153"/>
              </w:tabs>
              <w:spacing w:line="400" w:lineRule="exact"/>
              <w:jc w:val="left"/>
              <w:rPr>
                <w:rFonts w:ascii="宋体" w:hAnsi="宋体" w:cs="宋体"/>
                <w:szCs w:val="21"/>
              </w:rPr>
            </w:pPr>
            <w:r>
              <w:rPr>
                <w:rFonts w:hint="eastAsia" w:ascii="宋体" w:hAnsi="宋体" w:cs="宋体"/>
                <w:szCs w:val="21"/>
              </w:rPr>
              <w:t>第四等级（最高等级）</w:t>
            </w:r>
          </w:p>
        </w:tc>
        <w:tc>
          <w:tcPr>
            <w:tcW w:w="5309" w:type="dxa"/>
            <w:gridSpan w:val="3"/>
          </w:tcPr>
          <w:p>
            <w:pPr>
              <w:tabs>
                <w:tab w:val="left" w:pos="2525"/>
                <w:tab w:val="center" w:pos="4153"/>
              </w:tabs>
              <w:spacing w:line="400" w:lineRule="exact"/>
              <w:jc w:val="left"/>
              <w:rPr>
                <w:rFonts w:ascii="宋体" w:hAnsi="宋体" w:cs="宋体"/>
                <w:szCs w:val="21"/>
              </w:rPr>
            </w:pPr>
            <w:r>
              <w:rPr>
                <w:rFonts w:hint="eastAsia" w:ascii="宋体" w:hAnsi="宋体" w:cs="宋体"/>
                <w:szCs w:val="21"/>
              </w:rPr>
              <w:t>辩证思维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365" w:type="dxa"/>
            <w:vMerge w:val="restart"/>
          </w:tcPr>
          <w:p>
            <w:pPr>
              <w:tabs>
                <w:tab w:val="left" w:pos="2525"/>
                <w:tab w:val="center" w:pos="4153"/>
              </w:tabs>
              <w:spacing w:line="400" w:lineRule="exact"/>
              <w:jc w:val="left"/>
              <w:rPr>
                <w:rFonts w:ascii="宋体" w:hAnsi="宋体" w:cs="宋体"/>
                <w:szCs w:val="21"/>
              </w:rPr>
            </w:pPr>
            <w:r>
              <w:rPr>
                <w:rFonts w:hint="eastAsia" w:ascii="宋体" w:hAnsi="宋体" w:cs="宋体"/>
                <w:szCs w:val="21"/>
              </w:rPr>
              <w:t>第三等级</w:t>
            </w:r>
          </w:p>
        </w:tc>
        <w:tc>
          <w:tcPr>
            <w:tcW w:w="1618" w:type="dxa"/>
            <w:vMerge w:val="restart"/>
          </w:tcPr>
          <w:p>
            <w:pPr>
              <w:tabs>
                <w:tab w:val="left" w:pos="2525"/>
                <w:tab w:val="center" w:pos="4153"/>
              </w:tabs>
              <w:spacing w:line="400" w:lineRule="exact"/>
              <w:jc w:val="left"/>
              <w:rPr>
                <w:rFonts w:ascii="宋体" w:hAnsi="宋体" w:cs="宋体"/>
                <w:szCs w:val="21"/>
              </w:rPr>
            </w:pPr>
            <w:r>
              <w:rPr>
                <w:rFonts w:hint="eastAsia" w:ascii="宋体" w:hAnsi="宋体" w:cs="宋体"/>
                <w:szCs w:val="21"/>
              </w:rPr>
              <w:t>抽象逻辑思维</w:t>
            </w:r>
          </w:p>
        </w:tc>
        <w:tc>
          <w:tcPr>
            <w:tcW w:w="1509" w:type="dxa"/>
            <w:vMerge w:val="restart"/>
          </w:tcPr>
          <w:p>
            <w:pPr>
              <w:tabs>
                <w:tab w:val="left" w:pos="2525"/>
                <w:tab w:val="center" w:pos="4153"/>
              </w:tabs>
              <w:spacing w:line="400" w:lineRule="exact"/>
              <w:jc w:val="left"/>
              <w:rPr>
                <w:rFonts w:ascii="宋体" w:hAnsi="宋体" w:cs="宋体"/>
                <w:szCs w:val="21"/>
              </w:rPr>
            </w:pPr>
            <w:r>
              <w:rPr>
                <w:rFonts w:hint="eastAsia" w:ascii="宋体" w:hAnsi="宋体" w:cs="宋体"/>
                <w:szCs w:val="21"/>
              </w:rPr>
              <w:t>形式运算思维</w:t>
            </w:r>
          </w:p>
        </w:tc>
        <w:tc>
          <w:tcPr>
            <w:tcW w:w="2182" w:type="dxa"/>
          </w:tcPr>
          <w:p>
            <w:pPr>
              <w:tabs>
                <w:tab w:val="left" w:pos="2525"/>
                <w:tab w:val="center" w:pos="4153"/>
              </w:tabs>
              <w:spacing w:line="400" w:lineRule="exact"/>
              <w:jc w:val="left"/>
              <w:rPr>
                <w:rFonts w:ascii="宋体" w:hAnsi="宋体" w:cs="宋体"/>
                <w:szCs w:val="21"/>
              </w:rPr>
            </w:pPr>
            <w:r>
              <w:rPr>
                <w:rFonts w:hint="eastAsia" w:ascii="宋体" w:hAnsi="宋体" w:cs="宋体"/>
                <w:szCs w:val="21"/>
              </w:rPr>
              <w:t>理论型抽象逻辑思维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365" w:type="dxa"/>
            <w:vMerge w:val="continue"/>
          </w:tcPr>
          <w:p>
            <w:pPr>
              <w:tabs>
                <w:tab w:val="left" w:pos="2525"/>
                <w:tab w:val="center" w:pos="4153"/>
              </w:tabs>
              <w:spacing w:line="400" w:lineRule="exact"/>
              <w:jc w:val="left"/>
              <w:rPr>
                <w:rFonts w:ascii="宋体" w:hAnsi="宋体" w:cs="宋体"/>
                <w:szCs w:val="21"/>
              </w:rPr>
            </w:pPr>
          </w:p>
        </w:tc>
        <w:tc>
          <w:tcPr>
            <w:tcW w:w="1618" w:type="dxa"/>
            <w:vMerge w:val="continue"/>
          </w:tcPr>
          <w:p>
            <w:pPr>
              <w:tabs>
                <w:tab w:val="left" w:pos="2525"/>
                <w:tab w:val="center" w:pos="4153"/>
              </w:tabs>
              <w:spacing w:line="400" w:lineRule="exact"/>
              <w:jc w:val="left"/>
              <w:rPr>
                <w:rFonts w:ascii="宋体" w:hAnsi="宋体" w:cs="宋体"/>
                <w:szCs w:val="21"/>
              </w:rPr>
            </w:pPr>
          </w:p>
        </w:tc>
        <w:tc>
          <w:tcPr>
            <w:tcW w:w="1509" w:type="dxa"/>
            <w:vMerge w:val="continue"/>
          </w:tcPr>
          <w:p>
            <w:pPr>
              <w:tabs>
                <w:tab w:val="left" w:pos="2525"/>
                <w:tab w:val="center" w:pos="4153"/>
              </w:tabs>
              <w:spacing w:line="400" w:lineRule="exact"/>
              <w:jc w:val="left"/>
              <w:rPr>
                <w:rFonts w:ascii="宋体" w:hAnsi="宋体" w:cs="宋体"/>
                <w:szCs w:val="21"/>
              </w:rPr>
            </w:pPr>
          </w:p>
        </w:tc>
        <w:tc>
          <w:tcPr>
            <w:tcW w:w="2182" w:type="dxa"/>
          </w:tcPr>
          <w:p>
            <w:pPr>
              <w:tabs>
                <w:tab w:val="left" w:pos="2525"/>
                <w:tab w:val="center" w:pos="4153"/>
              </w:tabs>
              <w:spacing w:line="400" w:lineRule="exact"/>
              <w:jc w:val="left"/>
              <w:rPr>
                <w:rFonts w:ascii="宋体" w:hAnsi="宋体" w:cs="宋体"/>
                <w:szCs w:val="21"/>
              </w:rPr>
            </w:pPr>
            <w:r>
              <w:rPr>
                <w:rFonts w:hint="eastAsia" w:ascii="宋体" w:hAnsi="宋体" w:cs="宋体"/>
                <w:szCs w:val="21"/>
              </w:rPr>
              <w:t>经验型抽象逻辑思维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365" w:type="dxa"/>
            <w:vMerge w:val="continue"/>
          </w:tcPr>
          <w:p>
            <w:pPr>
              <w:tabs>
                <w:tab w:val="left" w:pos="2525"/>
                <w:tab w:val="center" w:pos="4153"/>
              </w:tabs>
              <w:spacing w:line="400" w:lineRule="exact"/>
              <w:jc w:val="left"/>
              <w:rPr>
                <w:rFonts w:ascii="宋体" w:hAnsi="宋体" w:cs="宋体"/>
                <w:szCs w:val="21"/>
              </w:rPr>
            </w:pPr>
          </w:p>
        </w:tc>
        <w:tc>
          <w:tcPr>
            <w:tcW w:w="1618" w:type="dxa"/>
            <w:vMerge w:val="continue"/>
          </w:tcPr>
          <w:p>
            <w:pPr>
              <w:tabs>
                <w:tab w:val="left" w:pos="2525"/>
                <w:tab w:val="center" w:pos="4153"/>
              </w:tabs>
              <w:spacing w:line="400" w:lineRule="exact"/>
              <w:jc w:val="left"/>
              <w:rPr>
                <w:rFonts w:ascii="宋体" w:hAnsi="宋体" w:cs="宋体"/>
                <w:szCs w:val="21"/>
              </w:rPr>
            </w:pPr>
          </w:p>
        </w:tc>
        <w:tc>
          <w:tcPr>
            <w:tcW w:w="1509" w:type="dxa"/>
          </w:tcPr>
          <w:p>
            <w:pPr>
              <w:tabs>
                <w:tab w:val="left" w:pos="2525"/>
                <w:tab w:val="center" w:pos="4153"/>
              </w:tabs>
              <w:spacing w:line="400" w:lineRule="exact"/>
              <w:jc w:val="left"/>
              <w:rPr>
                <w:rFonts w:ascii="宋体" w:hAnsi="宋体" w:cs="宋体"/>
                <w:szCs w:val="21"/>
              </w:rPr>
            </w:pPr>
            <w:r>
              <w:rPr>
                <w:rFonts w:hint="eastAsia" w:ascii="宋体" w:hAnsi="宋体" w:cs="宋体"/>
                <w:szCs w:val="21"/>
              </w:rPr>
              <w:t>具体运算思维</w:t>
            </w:r>
          </w:p>
        </w:tc>
        <w:tc>
          <w:tcPr>
            <w:tcW w:w="2182" w:type="dxa"/>
          </w:tcPr>
          <w:p>
            <w:pPr>
              <w:tabs>
                <w:tab w:val="left" w:pos="2525"/>
                <w:tab w:val="center" w:pos="4153"/>
              </w:tabs>
              <w:spacing w:line="400" w:lineRule="exact"/>
              <w:jc w:val="left"/>
              <w:rPr>
                <w:rFonts w:ascii="宋体" w:hAnsi="宋体" w:cs="宋体"/>
                <w:szCs w:val="21"/>
              </w:rPr>
            </w:pPr>
            <w:r>
              <w:rPr>
                <w:rFonts w:hint="eastAsia" w:ascii="宋体" w:hAnsi="宋体" w:cs="宋体"/>
                <w:szCs w:val="21"/>
              </w:rPr>
              <w:t>初步抽象逻辑思维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365" w:type="dxa"/>
          </w:tcPr>
          <w:p>
            <w:pPr>
              <w:tabs>
                <w:tab w:val="left" w:pos="2525"/>
                <w:tab w:val="center" w:pos="4153"/>
              </w:tabs>
              <w:spacing w:line="400" w:lineRule="exact"/>
              <w:jc w:val="left"/>
              <w:rPr>
                <w:rFonts w:ascii="宋体" w:hAnsi="宋体" w:cs="宋体"/>
                <w:szCs w:val="21"/>
              </w:rPr>
            </w:pPr>
            <w:r>
              <w:rPr>
                <w:rFonts w:hint="eastAsia" w:ascii="宋体" w:hAnsi="宋体" w:cs="宋体"/>
                <w:szCs w:val="21"/>
              </w:rPr>
              <w:t>第二等级</w:t>
            </w:r>
          </w:p>
        </w:tc>
        <w:tc>
          <w:tcPr>
            <w:tcW w:w="5309" w:type="dxa"/>
            <w:gridSpan w:val="3"/>
          </w:tcPr>
          <w:p>
            <w:pPr>
              <w:tabs>
                <w:tab w:val="left" w:pos="2525"/>
                <w:tab w:val="center" w:pos="4153"/>
              </w:tabs>
              <w:spacing w:line="400" w:lineRule="exact"/>
              <w:jc w:val="left"/>
              <w:rPr>
                <w:rFonts w:ascii="宋体" w:hAnsi="宋体" w:cs="宋体"/>
                <w:szCs w:val="21"/>
              </w:rPr>
            </w:pPr>
            <w:r>
              <w:rPr>
                <w:rFonts w:hint="eastAsia" w:ascii="宋体" w:hAnsi="宋体" w:cs="宋体"/>
                <w:szCs w:val="21"/>
              </w:rPr>
              <w:t>具体形象思维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365" w:type="dxa"/>
          </w:tcPr>
          <w:p>
            <w:pPr>
              <w:tabs>
                <w:tab w:val="left" w:pos="2525"/>
                <w:tab w:val="center" w:pos="4153"/>
              </w:tabs>
              <w:spacing w:line="400" w:lineRule="exact"/>
              <w:jc w:val="left"/>
              <w:rPr>
                <w:rFonts w:ascii="宋体" w:hAnsi="宋体" w:cs="宋体"/>
                <w:szCs w:val="21"/>
              </w:rPr>
            </w:pPr>
            <w:r>
              <w:rPr>
                <w:rFonts w:hint="eastAsia" w:ascii="宋体" w:hAnsi="宋体" w:cs="宋体"/>
                <w:szCs w:val="21"/>
              </w:rPr>
              <w:t>第一等级（最低等级）</w:t>
            </w:r>
          </w:p>
        </w:tc>
        <w:tc>
          <w:tcPr>
            <w:tcW w:w="5309" w:type="dxa"/>
            <w:gridSpan w:val="3"/>
          </w:tcPr>
          <w:p>
            <w:pPr>
              <w:tabs>
                <w:tab w:val="left" w:pos="2525"/>
                <w:tab w:val="center" w:pos="4153"/>
              </w:tabs>
              <w:spacing w:line="400" w:lineRule="exact"/>
              <w:jc w:val="left"/>
              <w:rPr>
                <w:rFonts w:ascii="宋体" w:hAnsi="宋体" w:cs="宋体"/>
                <w:szCs w:val="21"/>
              </w:rPr>
            </w:pPr>
            <w:r>
              <w:rPr>
                <w:rFonts w:hint="eastAsia" w:ascii="宋体" w:hAnsi="宋体" w:cs="宋体"/>
                <w:szCs w:val="21"/>
              </w:rPr>
              <w:t>直观行动思维</w:t>
            </w:r>
          </w:p>
        </w:tc>
      </w:tr>
    </w:tbl>
    <w:p>
      <w:pPr>
        <w:tabs>
          <w:tab w:val="left" w:pos="2525"/>
          <w:tab w:val="center" w:pos="4153"/>
        </w:tabs>
        <w:spacing w:line="400" w:lineRule="exact"/>
        <w:ind w:firstLine="420" w:firstLineChars="200"/>
        <w:jc w:val="left"/>
        <w:rPr>
          <w:rFonts w:ascii="宋体" w:cs="宋体"/>
          <w:szCs w:val="21"/>
        </w:rPr>
      </w:pPr>
      <w:r>
        <w:rPr>
          <w:rFonts w:hint="eastAsia" w:ascii="宋体" w:hAnsi="宋体" w:cs="宋体"/>
          <w:szCs w:val="21"/>
        </w:rPr>
        <w:t>高校教育培养人才的首要任务就是培养学生的辩证思维能力。近年来，高校外语教学尤其重视学生思辨能力的培养，就是这一点最好的体现。心理学和外语教学的相关研究认为：思辨能力是辩证思维能力的重要组成部分，也是辩证思维能力的高级发展阶段。培养外语专业学生的思辨能力，对外语专业学生的全面发展以及将来的职业生涯具有重大意义。个体间思辨能力的差异主要由思维品质决定。思维品质是人类在智力活动中表现出的个性特点，个体间思维品质的不同造成了智力水平的高低不同。思维品质的评价标准主要有深刻性、灵活性、独创性、批判性和敏捷性这五个方面</w:t>
      </w:r>
      <w:r>
        <w:rPr>
          <w:rFonts w:eastAsia="MS Mincho"/>
          <w:vertAlign w:val="superscript"/>
        </w:rPr>
        <w:t>[</w:t>
      </w:r>
      <w:r>
        <w:rPr>
          <w:vertAlign w:val="superscript"/>
        </w:rPr>
        <w:t>10</w:t>
      </w:r>
      <w:r>
        <w:rPr>
          <w:rFonts w:eastAsia="MS Mincho"/>
          <w:vertAlign w:val="superscript"/>
        </w:rPr>
        <w:t>]</w:t>
      </w:r>
      <w:r>
        <w:rPr>
          <w:rFonts w:hint="eastAsia" w:ascii="宋体" w:hAnsi="宋体" w:cs="宋体"/>
          <w:szCs w:val="21"/>
        </w:rPr>
        <w:t>。外语教学中，多模态教学设计和成绩评定改革策略方面，应着重考虑思维品质的这</w:t>
      </w:r>
      <w:r>
        <w:rPr>
          <w:rFonts w:ascii="宋体" w:hAnsi="宋体" w:cs="宋体"/>
          <w:szCs w:val="21"/>
        </w:rPr>
        <w:t>5</w:t>
      </w:r>
      <w:r>
        <w:rPr>
          <w:rFonts w:hint="eastAsia" w:ascii="宋体" w:hAnsi="宋体" w:cs="宋体"/>
          <w:szCs w:val="21"/>
        </w:rPr>
        <w:t>个评价标准。只有这样才能从根本上提高外语专业学生的思辨能力。</w:t>
      </w:r>
    </w:p>
    <w:p>
      <w:pPr>
        <w:tabs>
          <w:tab w:val="left" w:pos="2525"/>
          <w:tab w:val="center" w:pos="4153"/>
        </w:tabs>
        <w:spacing w:line="400" w:lineRule="exact"/>
        <w:ind w:firstLine="2520" w:firstLineChars="1200"/>
        <w:jc w:val="left"/>
        <w:rPr>
          <w:rFonts w:ascii="宋体" w:cs="宋体"/>
          <w:szCs w:val="21"/>
        </w:rPr>
      </w:pPr>
      <w:r>
        <w:rPr>
          <w:rFonts w:hint="eastAsia" w:ascii="宋体" w:hAnsi="宋体" w:cs="宋体"/>
          <w:szCs w:val="21"/>
        </w:rPr>
        <w:t>表</w:t>
      </w:r>
      <w:r>
        <w:rPr>
          <w:rFonts w:ascii="宋体" w:hAnsi="宋体" w:cs="宋体"/>
          <w:szCs w:val="21"/>
        </w:rPr>
        <w:t xml:space="preserve">3 </w:t>
      </w:r>
      <w:r>
        <w:rPr>
          <w:rFonts w:hint="eastAsia" w:ascii="宋体" w:hAnsi="宋体" w:cs="宋体"/>
          <w:szCs w:val="21"/>
        </w:rPr>
        <w:t>思维品质的评价标准</w:t>
      </w:r>
    </w:p>
    <w:tbl>
      <w:tblPr>
        <w:tblStyle w:val="4"/>
        <w:tblW w:w="852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735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64" w:type="dxa"/>
          </w:tcPr>
          <w:p>
            <w:pPr>
              <w:spacing w:line="400" w:lineRule="exact"/>
              <w:rPr>
                <w:rFonts w:ascii="宋体" w:hAnsi="宋体" w:cs="宋体"/>
                <w:szCs w:val="21"/>
              </w:rPr>
            </w:pPr>
            <w:r>
              <w:rPr>
                <w:rFonts w:hint="eastAsia" w:ascii="宋体" w:hAnsi="宋体" w:cs="宋体"/>
                <w:szCs w:val="21"/>
              </w:rPr>
              <w:t>深刻性</w:t>
            </w:r>
          </w:p>
          <w:p>
            <w:pPr>
              <w:spacing w:line="400" w:lineRule="exact"/>
              <w:rPr>
                <w:rFonts w:ascii="宋体" w:hAnsi="宋体" w:cs="宋体"/>
                <w:szCs w:val="21"/>
              </w:rPr>
            </w:pPr>
          </w:p>
        </w:tc>
        <w:tc>
          <w:tcPr>
            <w:tcW w:w="7358" w:type="dxa"/>
          </w:tcPr>
          <w:p>
            <w:pPr>
              <w:spacing w:line="400" w:lineRule="exact"/>
              <w:rPr>
                <w:rFonts w:ascii="宋体" w:hAnsi="宋体" w:cs="宋体"/>
                <w:szCs w:val="21"/>
              </w:rPr>
            </w:pPr>
            <w:r>
              <w:rPr>
                <w:rFonts w:hint="eastAsia" w:ascii="宋体" w:hAnsi="宋体" w:cs="宋体"/>
                <w:szCs w:val="21"/>
              </w:rPr>
              <w:t>深刻性是指思维活动过程中的概括能力和逻辑推理能力。概括能力较强的人善于总结事物的表象，抓住事物的本质和规律，从而进行系统的思维活动。逻辑推理能力帮助人们深入思考问题，预见事物的发展进程。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64" w:type="dxa"/>
          </w:tcPr>
          <w:p>
            <w:pPr>
              <w:spacing w:line="400" w:lineRule="exact"/>
              <w:rPr>
                <w:rFonts w:ascii="宋体" w:hAnsi="宋体" w:cs="宋体"/>
                <w:szCs w:val="21"/>
              </w:rPr>
            </w:pPr>
            <w:r>
              <w:rPr>
                <w:rFonts w:hint="eastAsia" w:ascii="宋体" w:hAnsi="宋体" w:cs="宋体"/>
                <w:szCs w:val="21"/>
              </w:rPr>
              <w:t>灵活性</w:t>
            </w:r>
          </w:p>
          <w:p>
            <w:pPr>
              <w:spacing w:line="400" w:lineRule="exact"/>
              <w:rPr>
                <w:rFonts w:ascii="宋体" w:hAnsi="宋体" w:cs="宋体"/>
                <w:szCs w:val="21"/>
              </w:rPr>
            </w:pPr>
          </w:p>
        </w:tc>
        <w:tc>
          <w:tcPr>
            <w:tcW w:w="7358" w:type="dxa"/>
          </w:tcPr>
          <w:p>
            <w:pPr>
              <w:spacing w:line="400" w:lineRule="exact"/>
              <w:rPr>
                <w:rFonts w:ascii="宋体" w:hAnsi="宋体" w:cs="宋体"/>
                <w:szCs w:val="21"/>
              </w:rPr>
            </w:pPr>
            <w:r>
              <w:rPr>
                <w:rFonts w:hint="eastAsia" w:ascii="宋体" w:hAnsi="宋体" w:cs="宋体"/>
                <w:szCs w:val="21"/>
              </w:rPr>
              <w:t>灵活性表现为：多角度观察问题，面对问题时具有变通性，灵活运用周边信息，全面地思考问题和解决问题。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64" w:type="dxa"/>
          </w:tcPr>
          <w:p>
            <w:pPr>
              <w:spacing w:line="400" w:lineRule="exact"/>
              <w:rPr>
                <w:rFonts w:ascii="宋体" w:hAnsi="宋体" w:cs="宋体"/>
                <w:szCs w:val="21"/>
              </w:rPr>
            </w:pPr>
            <w:r>
              <w:rPr>
                <w:rFonts w:hint="eastAsia" w:ascii="宋体" w:hAnsi="宋体" w:cs="宋体"/>
                <w:szCs w:val="21"/>
              </w:rPr>
              <w:t>独创性</w:t>
            </w:r>
          </w:p>
          <w:p>
            <w:pPr>
              <w:spacing w:line="400" w:lineRule="exact"/>
              <w:rPr>
                <w:rFonts w:ascii="宋体" w:hAnsi="宋体" w:cs="宋体"/>
                <w:szCs w:val="21"/>
              </w:rPr>
            </w:pPr>
          </w:p>
        </w:tc>
        <w:tc>
          <w:tcPr>
            <w:tcW w:w="7358" w:type="dxa"/>
          </w:tcPr>
          <w:p>
            <w:pPr>
              <w:spacing w:line="400" w:lineRule="exact"/>
              <w:rPr>
                <w:rFonts w:ascii="宋体" w:hAnsi="宋体" w:cs="宋体"/>
                <w:szCs w:val="21"/>
              </w:rPr>
            </w:pPr>
            <w:r>
              <w:rPr>
                <w:rFonts w:hint="eastAsia" w:ascii="宋体" w:hAnsi="宋体" w:cs="宋体"/>
                <w:szCs w:val="21"/>
              </w:rPr>
              <w:t>独创性是指主体高度概括思维材料后，重新组合找出独创的层次和交接点。在实践中表现为个体思维活动的创新精神，科学的进步和发展离不开创造和创新。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64" w:type="dxa"/>
          </w:tcPr>
          <w:p>
            <w:pPr>
              <w:spacing w:line="400" w:lineRule="exact"/>
              <w:rPr>
                <w:rFonts w:ascii="宋体" w:hAnsi="宋体" w:cs="宋体"/>
                <w:szCs w:val="21"/>
              </w:rPr>
            </w:pPr>
            <w:r>
              <w:rPr>
                <w:rFonts w:hint="eastAsia" w:ascii="宋体" w:hAnsi="宋体" w:cs="宋体"/>
                <w:szCs w:val="21"/>
              </w:rPr>
              <w:t>批判性</w:t>
            </w:r>
          </w:p>
          <w:p>
            <w:pPr>
              <w:spacing w:line="400" w:lineRule="exact"/>
              <w:rPr>
                <w:rFonts w:ascii="宋体" w:hAnsi="宋体" w:cs="宋体"/>
                <w:szCs w:val="21"/>
              </w:rPr>
            </w:pPr>
          </w:p>
        </w:tc>
        <w:tc>
          <w:tcPr>
            <w:tcW w:w="7358" w:type="dxa"/>
          </w:tcPr>
          <w:p>
            <w:pPr>
              <w:spacing w:line="400" w:lineRule="exact"/>
              <w:rPr>
                <w:rFonts w:ascii="宋体" w:hAnsi="宋体" w:cs="宋体"/>
                <w:szCs w:val="21"/>
              </w:rPr>
            </w:pPr>
            <w:r>
              <w:rPr>
                <w:rFonts w:hint="eastAsia" w:ascii="宋体" w:hAnsi="宋体" w:cs="宋体"/>
                <w:szCs w:val="21"/>
              </w:rPr>
              <w:t>批判性思维有助于我们更加合理地评估思维材料和检验思维过程，从而认知所处环境，其中包括自我认知。思维的批判性同心理学领域的“反思”、“自我监控”和“元认知”有相互重叠，互补交融的内在联系。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64" w:type="dxa"/>
          </w:tcPr>
          <w:p>
            <w:pPr>
              <w:spacing w:line="400" w:lineRule="exact"/>
              <w:rPr>
                <w:rFonts w:ascii="宋体" w:hAnsi="宋体" w:cs="宋体"/>
                <w:szCs w:val="21"/>
              </w:rPr>
            </w:pPr>
            <w:r>
              <w:rPr>
                <w:rFonts w:hint="eastAsia" w:ascii="宋体" w:hAnsi="宋体" w:cs="宋体"/>
                <w:szCs w:val="21"/>
              </w:rPr>
              <w:t>敏捷性</w:t>
            </w:r>
          </w:p>
          <w:p>
            <w:pPr>
              <w:spacing w:line="400" w:lineRule="exact"/>
              <w:rPr>
                <w:rFonts w:ascii="宋体" w:hAnsi="宋体" w:cs="宋体"/>
                <w:szCs w:val="21"/>
              </w:rPr>
            </w:pPr>
          </w:p>
        </w:tc>
        <w:tc>
          <w:tcPr>
            <w:tcW w:w="7358" w:type="dxa"/>
          </w:tcPr>
          <w:p>
            <w:pPr>
              <w:spacing w:line="400" w:lineRule="exact"/>
              <w:rPr>
                <w:rFonts w:ascii="宋体" w:hAnsi="宋体" w:cs="宋体"/>
                <w:szCs w:val="21"/>
              </w:rPr>
            </w:pPr>
            <w:r>
              <w:rPr>
                <w:rFonts w:hint="eastAsia" w:ascii="宋体" w:hAnsi="宋体" w:cs="宋体"/>
                <w:szCs w:val="21"/>
              </w:rPr>
              <w:t>敏捷性是指智力的敏锐程度，即思维活动的速度。在实际生活中，智力水平较高的人，反应速度快，思考问题迅速。智力水平较低的人，面对问题时呈现出迟钝的状态。</w:t>
            </w:r>
          </w:p>
        </w:tc>
      </w:tr>
    </w:tbl>
    <w:p>
      <w:pPr>
        <w:tabs>
          <w:tab w:val="left" w:pos="2525"/>
          <w:tab w:val="center" w:pos="4153"/>
        </w:tabs>
        <w:spacing w:line="400" w:lineRule="exact"/>
        <w:ind w:firstLine="482" w:firstLineChars="200"/>
        <w:jc w:val="left"/>
        <w:rPr>
          <w:rFonts w:ascii="宋体" w:cs="宋体"/>
          <w:b/>
          <w:bCs/>
          <w:sz w:val="24"/>
        </w:rPr>
      </w:pPr>
      <w:r>
        <w:rPr>
          <w:rFonts w:hint="eastAsia" w:ascii="宋体" w:hAnsi="宋体" w:cs="宋体"/>
          <w:b/>
          <w:bCs/>
          <w:sz w:val="24"/>
        </w:rPr>
        <w:t>五、外语教学培育学生思辨能力的对策</w:t>
      </w:r>
    </w:p>
    <w:p>
      <w:pPr>
        <w:tabs>
          <w:tab w:val="left" w:pos="2525"/>
          <w:tab w:val="center" w:pos="4153"/>
        </w:tabs>
        <w:spacing w:line="400" w:lineRule="exact"/>
        <w:ind w:firstLine="422" w:firstLineChars="200"/>
        <w:jc w:val="left"/>
        <w:rPr>
          <w:rFonts w:ascii="宋体" w:cs="宋体"/>
          <w:b/>
          <w:bCs/>
          <w:szCs w:val="21"/>
        </w:rPr>
      </w:pPr>
      <w:r>
        <w:rPr>
          <w:rFonts w:hint="eastAsia" w:ascii="宋体" w:hAnsi="宋体" w:cs="宋体"/>
          <w:b/>
          <w:bCs/>
          <w:szCs w:val="21"/>
        </w:rPr>
        <w:t>（一）思辨能力中概括能力的重要性</w:t>
      </w:r>
    </w:p>
    <w:p>
      <w:pPr>
        <w:tabs>
          <w:tab w:val="left" w:pos="2525"/>
          <w:tab w:val="center" w:pos="4153"/>
        </w:tabs>
        <w:spacing w:line="400" w:lineRule="exact"/>
        <w:ind w:firstLine="420" w:firstLineChars="200"/>
        <w:jc w:val="left"/>
        <w:rPr>
          <w:rFonts w:ascii="宋体" w:cs="宋体"/>
          <w:szCs w:val="21"/>
        </w:rPr>
      </w:pPr>
      <w:r>
        <w:rPr>
          <w:rFonts w:ascii="宋体" w:hAnsi="宋体" w:cs="宋体"/>
          <w:szCs w:val="21"/>
        </w:rPr>
        <w:t>20</w:t>
      </w:r>
      <w:r>
        <w:rPr>
          <w:rFonts w:hint="eastAsia" w:ascii="宋体" w:hAnsi="宋体" w:cs="宋体"/>
          <w:szCs w:val="21"/>
        </w:rPr>
        <w:t>世纪</w:t>
      </w:r>
      <w:r>
        <w:rPr>
          <w:rFonts w:ascii="宋体" w:hAnsi="宋体" w:cs="宋体"/>
          <w:szCs w:val="21"/>
        </w:rPr>
        <w:t>80</w:t>
      </w:r>
      <w:r>
        <w:rPr>
          <w:rFonts w:hint="eastAsia" w:ascii="宋体" w:hAnsi="宋体" w:cs="宋体"/>
          <w:szCs w:val="21"/>
        </w:rPr>
        <w:t>年代末，美国学者</w:t>
      </w:r>
      <w:r>
        <w:rPr>
          <w:rFonts w:ascii="Times New Roman" w:hAnsi="Times New Roman"/>
          <w:szCs w:val="21"/>
        </w:rPr>
        <w:t>P.A.Facione</w:t>
      </w:r>
      <w:r>
        <w:rPr>
          <w:rFonts w:hint="eastAsia" w:ascii="宋体" w:hAnsi="宋体" w:cs="宋体"/>
          <w:szCs w:val="21"/>
        </w:rPr>
        <w:t>组建特尔斐项目组，对思辨能力的构成要素进行了深入的研究。项目组研究人员共计</w:t>
      </w:r>
      <w:r>
        <w:rPr>
          <w:rFonts w:ascii="宋体" w:hAnsi="宋体" w:cs="宋体"/>
          <w:szCs w:val="21"/>
        </w:rPr>
        <w:t>45</w:t>
      </w:r>
      <w:r>
        <w:rPr>
          <w:rFonts w:hint="eastAsia" w:ascii="宋体" w:hAnsi="宋体" w:cs="宋体"/>
          <w:szCs w:val="21"/>
        </w:rPr>
        <w:t>位，分别来自哲学界、教育界和科学界的知名专家和学者。历时</w:t>
      </w:r>
      <w:r>
        <w:rPr>
          <w:rFonts w:ascii="宋体" w:hAnsi="宋体" w:cs="宋体"/>
          <w:szCs w:val="21"/>
        </w:rPr>
        <w:t>2</w:t>
      </w:r>
      <w:r>
        <w:rPr>
          <w:rFonts w:hint="eastAsia" w:ascii="宋体" w:hAnsi="宋体" w:cs="宋体"/>
          <w:szCs w:val="21"/>
        </w:rPr>
        <w:t>年的系统研究后发表了《特尔斐报告》。报告中指出：思辨能力包括认知能力和情感特质两大部分。情感特质主要包括求知欲、自信、开放、灵活、公正、谨慎和诚实等因素；认知能力包括概括能力、理解能力、分析能力、评价能力、推理能力、说明能力和自我调节能力，其中概括能力占有重要地位</w:t>
      </w:r>
      <w:r>
        <w:rPr>
          <w:rFonts w:eastAsia="MS Mincho"/>
          <w:vertAlign w:val="superscript"/>
        </w:rPr>
        <w:t>[</w:t>
      </w:r>
      <w:r>
        <w:rPr>
          <w:vertAlign w:val="superscript"/>
        </w:rPr>
        <w:t>11</w:t>
      </w:r>
      <w:r>
        <w:rPr>
          <w:rFonts w:eastAsia="MS Mincho"/>
          <w:vertAlign w:val="superscript"/>
        </w:rPr>
        <w:t>]</w:t>
      </w:r>
      <w:r>
        <w:rPr>
          <w:rFonts w:hint="eastAsia" w:ascii="宋体" w:hAnsi="宋体" w:cs="宋体"/>
          <w:szCs w:val="21"/>
        </w:rPr>
        <w:t>。概括能力是思维研究的重要内容，是评价学生思维发展的重要指标之一，提高概括能力是培养学生思辨能力的主要途径。设计外语教学时，主要通过复述、概述、归纳总结等手段来提高和培养学生的概括能力。概括能力的重要性主要体现在以下</w:t>
      </w:r>
      <w:r>
        <w:rPr>
          <w:rFonts w:ascii="宋体" w:hAnsi="宋体" w:cs="宋体"/>
          <w:szCs w:val="21"/>
        </w:rPr>
        <w:t>4</w:t>
      </w:r>
      <w:r>
        <w:rPr>
          <w:rFonts w:hint="eastAsia" w:ascii="宋体" w:hAnsi="宋体" w:cs="宋体"/>
          <w:szCs w:val="21"/>
        </w:rPr>
        <w:t>个方面：</w:t>
      </w:r>
    </w:p>
    <w:p>
      <w:pPr>
        <w:numPr>
          <w:ilvl w:val="0"/>
          <w:numId w:val="1"/>
        </w:numPr>
        <w:tabs>
          <w:tab w:val="left" w:pos="2525"/>
          <w:tab w:val="center" w:pos="4153"/>
        </w:tabs>
        <w:spacing w:line="400" w:lineRule="exact"/>
        <w:ind w:firstLine="420" w:firstLineChars="200"/>
        <w:jc w:val="left"/>
        <w:rPr>
          <w:rFonts w:ascii="宋体" w:cs="宋体"/>
          <w:szCs w:val="21"/>
        </w:rPr>
      </w:pPr>
      <w:r>
        <w:rPr>
          <w:rFonts w:hint="eastAsia" w:ascii="宋体" w:hAnsi="宋体" w:cs="宋体"/>
          <w:szCs w:val="21"/>
        </w:rPr>
        <w:t>人们通过对相关事物进行分析比较，发现其共同的内在特征，之后总结概括这些共同特征，最终形成概念。也就是说，概念是事物的本质属性在人脑中的抽象反应。概括能力是个体掌握概念的前提条件，概括能力的高低将直接影响人们掌握概念的程度。</w:t>
      </w:r>
    </w:p>
    <w:p>
      <w:pPr>
        <w:numPr>
          <w:ilvl w:val="0"/>
          <w:numId w:val="1"/>
        </w:numPr>
        <w:tabs>
          <w:tab w:val="left" w:pos="2525"/>
          <w:tab w:val="center" w:pos="4153"/>
        </w:tabs>
        <w:spacing w:line="400" w:lineRule="exact"/>
        <w:ind w:firstLine="420" w:firstLineChars="200"/>
        <w:jc w:val="left"/>
        <w:rPr>
          <w:rFonts w:ascii="宋体" w:cs="宋体"/>
          <w:szCs w:val="21"/>
        </w:rPr>
      </w:pPr>
      <w:r>
        <w:rPr>
          <w:rFonts w:hint="eastAsia" w:ascii="宋体" w:hAnsi="宋体" w:cs="宋体"/>
          <w:szCs w:val="21"/>
        </w:rPr>
        <w:t>概括能力是取得科研成果的关键因素。科研活动通过研究个别事物和现象，总结分析它们之间的内在联系，并将其转化为一般规律。在科研活动的结束阶段，作为研究成果，一定要得出某种结论。而这一思维过程离不开概括能力，因为结论是通过概括能力总结出的事物的普遍规律。</w:t>
      </w:r>
    </w:p>
    <w:p>
      <w:pPr>
        <w:numPr>
          <w:ilvl w:val="0"/>
          <w:numId w:val="1"/>
        </w:numPr>
        <w:tabs>
          <w:tab w:val="left" w:pos="2525"/>
          <w:tab w:val="center" w:pos="4153"/>
        </w:tabs>
        <w:spacing w:line="400" w:lineRule="exact"/>
        <w:ind w:firstLine="420" w:firstLineChars="200"/>
        <w:jc w:val="left"/>
        <w:rPr>
          <w:rFonts w:ascii="宋体" w:cs="宋体"/>
          <w:szCs w:val="21"/>
        </w:rPr>
      </w:pPr>
      <w:r>
        <w:rPr>
          <w:rFonts w:hint="eastAsia" w:ascii="宋体" w:hAnsi="宋体" w:cs="宋体"/>
          <w:szCs w:val="21"/>
        </w:rPr>
        <w:t>在实际学习过程中，概括能力对学生认知结构的构建具有重要意义。没有概括，难以形成概念，而大多数定理和公式是由概念引申而来。对知识进行编码、理解和内化的过程实际上就是概括的思维过程，概括能力构建了学生认知体系和技能体系的基础。</w:t>
      </w:r>
    </w:p>
    <w:p>
      <w:pPr>
        <w:numPr>
          <w:ilvl w:val="0"/>
          <w:numId w:val="1"/>
        </w:numPr>
        <w:tabs>
          <w:tab w:val="left" w:pos="2525"/>
          <w:tab w:val="center" w:pos="4153"/>
        </w:tabs>
        <w:spacing w:line="400" w:lineRule="exact"/>
        <w:ind w:firstLine="420" w:firstLineChars="200"/>
        <w:jc w:val="left"/>
        <w:rPr>
          <w:rFonts w:ascii="宋体" w:cs="宋体"/>
          <w:szCs w:val="21"/>
        </w:rPr>
      </w:pPr>
      <w:r>
        <w:rPr>
          <w:rFonts w:hint="eastAsia" w:ascii="宋体" w:hAnsi="宋体" w:cs="宋体"/>
          <w:szCs w:val="21"/>
        </w:rPr>
        <w:t>概括能力从某种角度来说，就是一种抽象和浓缩的过程，这一过程同思维的灵活迁移程度密切相关。较强的概括能力帮助我们构建系统性的知识体系，从而形成灵活的迁移能力。思维的深度和广度都离不开灵活的迁移能力，所以思维的深度发展和提高必须具备良好的概括能力。</w:t>
      </w:r>
    </w:p>
    <w:p>
      <w:pPr>
        <w:tabs>
          <w:tab w:val="left" w:pos="2525"/>
          <w:tab w:val="center" w:pos="4153"/>
        </w:tabs>
        <w:spacing w:line="400" w:lineRule="exact"/>
        <w:ind w:firstLine="422" w:firstLineChars="200"/>
        <w:jc w:val="left"/>
        <w:rPr>
          <w:rFonts w:ascii="宋体" w:cs="宋体"/>
          <w:b/>
          <w:bCs/>
          <w:szCs w:val="21"/>
        </w:rPr>
      </w:pPr>
      <w:r>
        <w:rPr>
          <w:rFonts w:hint="eastAsia" w:ascii="宋体" w:hAnsi="宋体" w:cs="宋体"/>
          <w:b/>
          <w:bCs/>
          <w:szCs w:val="21"/>
        </w:rPr>
        <w:t>（二）外语教学设计中的多模态话语分析</w:t>
      </w:r>
    </w:p>
    <w:p>
      <w:pPr>
        <w:tabs>
          <w:tab w:val="left" w:pos="2525"/>
          <w:tab w:val="center" w:pos="4153"/>
        </w:tabs>
        <w:spacing w:line="400" w:lineRule="exact"/>
        <w:ind w:firstLine="420" w:firstLineChars="200"/>
        <w:jc w:val="left"/>
        <w:rPr>
          <w:rFonts w:ascii="宋体" w:cs="宋体"/>
          <w:szCs w:val="21"/>
        </w:rPr>
      </w:pPr>
      <w:r>
        <w:rPr>
          <w:rFonts w:hint="eastAsia" w:ascii="宋体" w:hAnsi="宋体" w:cs="宋体"/>
          <w:szCs w:val="21"/>
        </w:rPr>
        <w:t>图像、声音、手势、动画和音调等非语言符号在交流中也是意义生成的重要因素。意义的表达是由多种模态符号共同构建并得以实现的，在社会交往的过程中，一切模态符号既各自独立又相互作用，孤立地研究其中一种符号模态不能完全解释话语的全部意义。外语教学中，应从不同层面来具体分析多模态话语，从而提高学生的思辨能力。</w:t>
      </w:r>
    </w:p>
    <w:p>
      <w:pPr>
        <w:tabs>
          <w:tab w:val="left" w:pos="2525"/>
          <w:tab w:val="center" w:pos="4153"/>
        </w:tabs>
        <w:spacing w:line="400" w:lineRule="exact"/>
        <w:ind w:firstLine="2100" w:firstLineChars="1000"/>
        <w:jc w:val="left"/>
        <w:rPr>
          <w:rFonts w:ascii="宋体" w:cs="宋体"/>
          <w:szCs w:val="21"/>
        </w:rPr>
      </w:pPr>
      <w:r>
        <w:rPr>
          <w:rFonts w:hint="eastAsia" w:ascii="宋体" w:hAnsi="宋体" w:cs="宋体"/>
          <w:szCs w:val="21"/>
        </w:rPr>
        <w:t>表</w:t>
      </w:r>
      <w:r>
        <w:rPr>
          <w:rFonts w:ascii="宋体" w:hAnsi="宋体" w:cs="宋体"/>
          <w:szCs w:val="21"/>
        </w:rPr>
        <w:t xml:space="preserve">4 </w:t>
      </w:r>
      <w:r>
        <w:rPr>
          <w:rFonts w:hint="eastAsia" w:ascii="宋体" w:hAnsi="宋体" w:cs="宋体"/>
          <w:szCs w:val="21"/>
        </w:rPr>
        <w:t>多模态话语分析理论模型</w:t>
      </w:r>
    </w:p>
    <w:tbl>
      <w:tblPr>
        <w:tblStyle w:val="4"/>
        <w:tblW w:w="852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591"/>
        <w:gridCol w:w="554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88" w:type="dxa"/>
          </w:tcPr>
          <w:p>
            <w:pPr>
              <w:tabs>
                <w:tab w:val="left" w:pos="2525"/>
                <w:tab w:val="center" w:pos="4153"/>
              </w:tabs>
              <w:spacing w:line="400" w:lineRule="exact"/>
              <w:jc w:val="left"/>
              <w:rPr>
                <w:rFonts w:ascii="宋体" w:hAnsi="宋体" w:cs="宋体"/>
                <w:szCs w:val="21"/>
              </w:rPr>
            </w:pPr>
            <w:r>
              <w:rPr>
                <w:rFonts w:hint="eastAsia" w:ascii="宋体" w:hAnsi="宋体" w:cs="宋体"/>
                <w:szCs w:val="21"/>
              </w:rPr>
              <w:t>文化层面</w:t>
            </w:r>
          </w:p>
        </w:tc>
        <w:tc>
          <w:tcPr>
            <w:tcW w:w="1591" w:type="dxa"/>
          </w:tcPr>
          <w:p>
            <w:pPr>
              <w:tabs>
                <w:tab w:val="left" w:pos="2525"/>
                <w:tab w:val="center" w:pos="4153"/>
              </w:tabs>
              <w:spacing w:line="400" w:lineRule="exact"/>
              <w:jc w:val="left"/>
              <w:rPr>
                <w:rFonts w:ascii="宋体" w:hAnsi="宋体" w:cs="宋体"/>
                <w:szCs w:val="21"/>
              </w:rPr>
            </w:pPr>
            <w:r>
              <w:rPr>
                <w:rFonts w:hint="eastAsia" w:ascii="宋体" w:hAnsi="宋体" w:cs="宋体"/>
                <w:szCs w:val="21"/>
              </w:rPr>
              <w:t>文化语境</w:t>
            </w:r>
          </w:p>
        </w:tc>
        <w:tc>
          <w:tcPr>
            <w:tcW w:w="5543" w:type="dxa"/>
          </w:tcPr>
          <w:p>
            <w:pPr>
              <w:tabs>
                <w:tab w:val="left" w:pos="2525"/>
                <w:tab w:val="center" w:pos="4153"/>
              </w:tabs>
              <w:spacing w:line="400" w:lineRule="exact"/>
              <w:jc w:val="left"/>
              <w:rPr>
                <w:rFonts w:ascii="宋体" w:hAnsi="宋体" w:cs="宋体"/>
                <w:szCs w:val="21"/>
              </w:rPr>
            </w:pPr>
            <w:r>
              <w:rPr>
                <w:rFonts w:hint="eastAsia" w:ascii="宋体" w:hAnsi="宋体" w:cs="宋体"/>
                <w:szCs w:val="21"/>
              </w:rPr>
              <w:t>意识形态、体裁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88" w:type="dxa"/>
          </w:tcPr>
          <w:p>
            <w:pPr>
              <w:tabs>
                <w:tab w:val="left" w:pos="2525"/>
                <w:tab w:val="center" w:pos="4153"/>
              </w:tabs>
              <w:spacing w:line="400" w:lineRule="exact"/>
              <w:jc w:val="left"/>
              <w:rPr>
                <w:rFonts w:ascii="宋体" w:hAnsi="宋体" w:cs="宋体"/>
                <w:szCs w:val="21"/>
              </w:rPr>
            </w:pPr>
            <w:r>
              <w:rPr>
                <w:rFonts w:hint="eastAsia" w:ascii="宋体" w:hAnsi="宋体" w:cs="宋体"/>
                <w:szCs w:val="21"/>
              </w:rPr>
              <w:t>语境层面</w:t>
            </w:r>
          </w:p>
        </w:tc>
        <w:tc>
          <w:tcPr>
            <w:tcW w:w="1591" w:type="dxa"/>
          </w:tcPr>
          <w:p>
            <w:pPr>
              <w:tabs>
                <w:tab w:val="left" w:pos="2525"/>
                <w:tab w:val="center" w:pos="4153"/>
              </w:tabs>
              <w:spacing w:line="400" w:lineRule="exact"/>
              <w:jc w:val="left"/>
              <w:rPr>
                <w:rFonts w:ascii="宋体" w:hAnsi="宋体" w:cs="宋体"/>
                <w:szCs w:val="21"/>
              </w:rPr>
            </w:pPr>
            <w:r>
              <w:rPr>
                <w:rFonts w:hint="eastAsia" w:ascii="宋体" w:hAnsi="宋体" w:cs="宋体"/>
                <w:szCs w:val="21"/>
              </w:rPr>
              <w:t>情景语境</w:t>
            </w:r>
          </w:p>
        </w:tc>
        <w:tc>
          <w:tcPr>
            <w:tcW w:w="5543" w:type="dxa"/>
          </w:tcPr>
          <w:p>
            <w:pPr>
              <w:tabs>
                <w:tab w:val="left" w:pos="2525"/>
                <w:tab w:val="center" w:pos="4153"/>
              </w:tabs>
              <w:spacing w:line="400" w:lineRule="exact"/>
              <w:jc w:val="left"/>
              <w:rPr>
                <w:rFonts w:ascii="宋体" w:hAnsi="宋体" w:cs="宋体"/>
                <w:szCs w:val="21"/>
              </w:rPr>
            </w:pPr>
            <w:r>
              <w:rPr>
                <w:rFonts w:hint="eastAsia" w:ascii="宋体" w:hAnsi="宋体" w:cs="宋体"/>
                <w:szCs w:val="21"/>
              </w:rPr>
              <w:t>话语范围、话语基调、话语方式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88" w:type="dxa"/>
          </w:tcPr>
          <w:p>
            <w:pPr>
              <w:tabs>
                <w:tab w:val="left" w:pos="2525"/>
                <w:tab w:val="center" w:pos="4153"/>
              </w:tabs>
              <w:spacing w:line="400" w:lineRule="exact"/>
              <w:jc w:val="left"/>
              <w:rPr>
                <w:rFonts w:ascii="宋体" w:hAnsi="宋体" w:cs="宋体"/>
                <w:szCs w:val="21"/>
              </w:rPr>
            </w:pPr>
            <w:r>
              <w:rPr>
                <w:rFonts w:hint="eastAsia" w:ascii="宋体" w:hAnsi="宋体" w:cs="宋体"/>
                <w:szCs w:val="21"/>
              </w:rPr>
              <w:t>意义层面</w:t>
            </w:r>
          </w:p>
        </w:tc>
        <w:tc>
          <w:tcPr>
            <w:tcW w:w="1591" w:type="dxa"/>
          </w:tcPr>
          <w:p>
            <w:pPr>
              <w:tabs>
                <w:tab w:val="left" w:pos="2525"/>
                <w:tab w:val="center" w:pos="4153"/>
              </w:tabs>
              <w:spacing w:line="400" w:lineRule="exact"/>
              <w:jc w:val="left"/>
              <w:rPr>
                <w:rFonts w:ascii="宋体" w:hAnsi="宋体" w:cs="宋体"/>
                <w:szCs w:val="21"/>
              </w:rPr>
            </w:pPr>
            <w:r>
              <w:rPr>
                <w:rFonts w:hint="eastAsia" w:ascii="宋体" w:hAnsi="宋体" w:cs="宋体"/>
                <w:szCs w:val="21"/>
              </w:rPr>
              <w:t>话语意义</w:t>
            </w:r>
          </w:p>
        </w:tc>
        <w:tc>
          <w:tcPr>
            <w:tcW w:w="5543" w:type="dxa"/>
          </w:tcPr>
          <w:p>
            <w:pPr>
              <w:tabs>
                <w:tab w:val="left" w:pos="2525"/>
                <w:tab w:val="center" w:pos="4153"/>
              </w:tabs>
              <w:spacing w:line="400" w:lineRule="exact"/>
              <w:jc w:val="left"/>
              <w:rPr>
                <w:rFonts w:ascii="宋体" w:hAnsi="宋体" w:cs="宋体"/>
                <w:szCs w:val="21"/>
              </w:rPr>
            </w:pPr>
            <w:r>
              <w:rPr>
                <w:rFonts w:hint="eastAsia" w:ascii="宋体" w:hAnsi="宋体" w:cs="宋体"/>
                <w:szCs w:val="21"/>
              </w:rPr>
              <w:t>概念意义、人际意义、谋篇意义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88" w:type="dxa"/>
            <w:vMerge w:val="restart"/>
          </w:tcPr>
          <w:p>
            <w:pPr>
              <w:tabs>
                <w:tab w:val="left" w:pos="2525"/>
                <w:tab w:val="center" w:pos="4153"/>
              </w:tabs>
              <w:spacing w:line="400" w:lineRule="exact"/>
              <w:jc w:val="left"/>
              <w:rPr>
                <w:rFonts w:ascii="宋体" w:hAnsi="宋体" w:cs="宋体"/>
                <w:szCs w:val="21"/>
              </w:rPr>
            </w:pPr>
            <w:r>
              <w:rPr>
                <w:rFonts w:hint="eastAsia" w:ascii="宋体" w:hAnsi="宋体" w:cs="宋体"/>
                <w:szCs w:val="21"/>
              </w:rPr>
              <w:t>形式层面</w:t>
            </w:r>
          </w:p>
        </w:tc>
        <w:tc>
          <w:tcPr>
            <w:tcW w:w="1591" w:type="dxa"/>
            <w:vMerge w:val="restart"/>
          </w:tcPr>
          <w:p>
            <w:pPr>
              <w:tabs>
                <w:tab w:val="left" w:pos="2525"/>
                <w:tab w:val="center" w:pos="4153"/>
              </w:tabs>
              <w:spacing w:line="400" w:lineRule="exact"/>
              <w:jc w:val="left"/>
              <w:rPr>
                <w:rFonts w:ascii="宋体" w:hAnsi="宋体" w:cs="宋体"/>
                <w:szCs w:val="21"/>
              </w:rPr>
            </w:pPr>
            <w:r>
              <w:rPr>
                <w:rFonts w:hint="eastAsia" w:ascii="宋体" w:hAnsi="宋体" w:cs="宋体"/>
                <w:szCs w:val="21"/>
              </w:rPr>
              <w:t>形式及关系</w:t>
            </w:r>
          </w:p>
        </w:tc>
        <w:tc>
          <w:tcPr>
            <w:tcW w:w="5543" w:type="dxa"/>
          </w:tcPr>
          <w:p>
            <w:pPr>
              <w:tabs>
                <w:tab w:val="left" w:pos="2525"/>
                <w:tab w:val="center" w:pos="4153"/>
              </w:tabs>
              <w:spacing w:line="400" w:lineRule="exact"/>
              <w:jc w:val="left"/>
              <w:rPr>
                <w:rFonts w:ascii="宋体" w:hAnsi="宋体" w:cs="宋体"/>
                <w:szCs w:val="21"/>
              </w:rPr>
            </w:pPr>
            <w:r>
              <w:rPr>
                <w:rFonts w:hint="eastAsia" w:ascii="宋体" w:hAnsi="宋体" w:cs="宋体"/>
                <w:szCs w:val="21"/>
              </w:rPr>
              <w:t>形式：语言、图觉、声觉、感觉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88" w:type="dxa"/>
            <w:vMerge w:val="continue"/>
          </w:tcPr>
          <w:p>
            <w:pPr>
              <w:tabs>
                <w:tab w:val="left" w:pos="2525"/>
                <w:tab w:val="center" w:pos="4153"/>
              </w:tabs>
              <w:spacing w:line="400" w:lineRule="exact"/>
              <w:jc w:val="left"/>
              <w:rPr>
                <w:rFonts w:ascii="宋体" w:hAnsi="宋体" w:cs="宋体"/>
                <w:szCs w:val="21"/>
              </w:rPr>
            </w:pPr>
          </w:p>
        </w:tc>
        <w:tc>
          <w:tcPr>
            <w:tcW w:w="1591" w:type="dxa"/>
            <w:vMerge w:val="continue"/>
          </w:tcPr>
          <w:p>
            <w:pPr>
              <w:tabs>
                <w:tab w:val="left" w:pos="2525"/>
                <w:tab w:val="center" w:pos="4153"/>
              </w:tabs>
              <w:spacing w:line="400" w:lineRule="exact"/>
              <w:jc w:val="left"/>
              <w:rPr>
                <w:rFonts w:ascii="宋体" w:hAnsi="宋体" w:cs="宋体"/>
                <w:szCs w:val="21"/>
              </w:rPr>
            </w:pPr>
          </w:p>
        </w:tc>
        <w:tc>
          <w:tcPr>
            <w:tcW w:w="5543" w:type="dxa"/>
          </w:tcPr>
          <w:p>
            <w:pPr>
              <w:tabs>
                <w:tab w:val="left" w:pos="2525"/>
                <w:tab w:val="center" w:pos="4153"/>
              </w:tabs>
              <w:spacing w:line="400" w:lineRule="exact"/>
              <w:jc w:val="left"/>
              <w:rPr>
                <w:rFonts w:ascii="宋体" w:hAnsi="宋体" w:cs="宋体"/>
                <w:szCs w:val="21"/>
              </w:rPr>
            </w:pPr>
            <w:r>
              <w:rPr>
                <w:rFonts w:hint="eastAsia" w:ascii="宋体" w:hAnsi="宋体" w:cs="宋体"/>
                <w:szCs w:val="21"/>
              </w:rPr>
              <w:t>关系：互补、非互补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88" w:type="dxa"/>
            <w:vMerge w:val="restart"/>
          </w:tcPr>
          <w:p>
            <w:pPr>
              <w:tabs>
                <w:tab w:val="left" w:pos="2525"/>
                <w:tab w:val="center" w:pos="4153"/>
              </w:tabs>
              <w:spacing w:line="400" w:lineRule="exact"/>
              <w:jc w:val="left"/>
              <w:rPr>
                <w:rFonts w:ascii="宋体" w:hAnsi="宋体" w:cs="宋体"/>
                <w:szCs w:val="21"/>
              </w:rPr>
            </w:pPr>
            <w:r>
              <w:rPr>
                <w:rFonts w:hint="eastAsia" w:ascii="宋体" w:hAnsi="宋体" w:cs="宋体"/>
                <w:szCs w:val="21"/>
              </w:rPr>
              <w:t>表达层面</w:t>
            </w:r>
          </w:p>
        </w:tc>
        <w:tc>
          <w:tcPr>
            <w:tcW w:w="1591" w:type="dxa"/>
            <w:vMerge w:val="restart"/>
          </w:tcPr>
          <w:p>
            <w:pPr>
              <w:tabs>
                <w:tab w:val="left" w:pos="2525"/>
                <w:tab w:val="center" w:pos="4153"/>
              </w:tabs>
              <w:spacing w:line="400" w:lineRule="exact"/>
              <w:jc w:val="left"/>
              <w:rPr>
                <w:rFonts w:ascii="宋体" w:hAnsi="宋体" w:cs="宋体"/>
                <w:szCs w:val="21"/>
              </w:rPr>
            </w:pPr>
            <w:r>
              <w:rPr>
                <w:rFonts w:hint="eastAsia" w:ascii="宋体" w:hAnsi="宋体" w:cs="宋体"/>
                <w:szCs w:val="21"/>
              </w:rPr>
              <w:t>媒体</w:t>
            </w:r>
          </w:p>
        </w:tc>
        <w:tc>
          <w:tcPr>
            <w:tcW w:w="5543" w:type="dxa"/>
          </w:tcPr>
          <w:p>
            <w:pPr>
              <w:tabs>
                <w:tab w:val="left" w:pos="2525"/>
                <w:tab w:val="center" w:pos="4153"/>
              </w:tabs>
              <w:spacing w:line="400" w:lineRule="exact"/>
              <w:jc w:val="left"/>
              <w:rPr>
                <w:rFonts w:ascii="宋体" w:hAnsi="宋体" w:cs="宋体"/>
                <w:szCs w:val="21"/>
              </w:rPr>
            </w:pPr>
            <w:r>
              <w:rPr>
                <w:rFonts w:hint="eastAsia" w:ascii="宋体" w:hAnsi="宋体" w:cs="宋体"/>
                <w:szCs w:val="21"/>
              </w:rPr>
              <w:t>语言：伴语言、纯语言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88" w:type="dxa"/>
            <w:vMerge w:val="continue"/>
          </w:tcPr>
          <w:p>
            <w:pPr>
              <w:tabs>
                <w:tab w:val="left" w:pos="2525"/>
                <w:tab w:val="center" w:pos="4153"/>
              </w:tabs>
              <w:spacing w:line="400" w:lineRule="exact"/>
              <w:jc w:val="left"/>
              <w:rPr>
                <w:rFonts w:ascii="宋体" w:hAnsi="宋体" w:cs="宋体"/>
                <w:szCs w:val="21"/>
              </w:rPr>
            </w:pPr>
          </w:p>
        </w:tc>
        <w:tc>
          <w:tcPr>
            <w:tcW w:w="1591" w:type="dxa"/>
            <w:vMerge w:val="continue"/>
          </w:tcPr>
          <w:p>
            <w:pPr>
              <w:tabs>
                <w:tab w:val="left" w:pos="2525"/>
                <w:tab w:val="center" w:pos="4153"/>
              </w:tabs>
              <w:spacing w:line="400" w:lineRule="exact"/>
              <w:jc w:val="left"/>
              <w:rPr>
                <w:rFonts w:ascii="宋体" w:hAnsi="宋体" w:cs="宋体"/>
                <w:szCs w:val="21"/>
              </w:rPr>
            </w:pPr>
          </w:p>
        </w:tc>
        <w:tc>
          <w:tcPr>
            <w:tcW w:w="5543" w:type="dxa"/>
          </w:tcPr>
          <w:p>
            <w:pPr>
              <w:tabs>
                <w:tab w:val="left" w:pos="2525"/>
                <w:tab w:val="center" w:pos="4153"/>
              </w:tabs>
              <w:spacing w:line="400" w:lineRule="exact"/>
              <w:jc w:val="left"/>
              <w:rPr>
                <w:rFonts w:ascii="宋体" w:hAnsi="宋体" w:cs="宋体"/>
                <w:szCs w:val="21"/>
              </w:rPr>
            </w:pPr>
            <w:r>
              <w:rPr>
                <w:rFonts w:hint="eastAsia" w:ascii="宋体" w:hAnsi="宋体" w:cs="宋体"/>
                <w:szCs w:val="21"/>
              </w:rPr>
              <w:t>非语言：身体、非身体</w:t>
            </w:r>
          </w:p>
        </w:tc>
      </w:tr>
    </w:tbl>
    <w:p>
      <w:pPr>
        <w:spacing w:line="400" w:lineRule="exact"/>
        <w:ind w:firstLine="422" w:firstLineChars="200"/>
        <w:rPr>
          <w:rFonts w:ascii="宋体" w:cs="宋体"/>
          <w:b/>
          <w:bCs/>
          <w:szCs w:val="21"/>
        </w:rPr>
      </w:pPr>
      <w:r>
        <w:rPr>
          <w:rFonts w:hint="eastAsia" w:ascii="宋体" w:hAnsi="宋体" w:cs="宋体"/>
          <w:b/>
          <w:bCs/>
          <w:szCs w:val="21"/>
        </w:rPr>
        <w:t>（三）多模态外语教学设计流程</w:t>
      </w:r>
    </w:p>
    <w:p>
      <w:pPr>
        <w:spacing w:line="400" w:lineRule="exact"/>
        <w:ind w:firstLine="420" w:firstLineChars="200"/>
        <w:rPr>
          <w:rFonts w:ascii="宋体" w:cs="宋体"/>
          <w:szCs w:val="21"/>
        </w:rPr>
      </w:pPr>
      <w:r>
        <w:rPr>
          <w:rFonts w:hint="eastAsia" w:ascii="宋体" w:hAnsi="宋体" w:cs="宋体"/>
          <w:szCs w:val="21"/>
        </w:rPr>
        <w:t>得益于互联网技术的不断发展和创新，我们的学习环境发生了巨大的变化。学习的媒介多种多样，既包括书籍等印刷制品，也包括计算机和手机等新型学习手段。高校教育也应与时俱进，开展教学工作时，既要考虑课堂环境，也要考虑网络环境，将慕课、微课、翻转课堂和微信公众号等新型教学方式融入到传统课堂教学中来，利用多模态学习模式，把教学推向更高层次。</w:t>
      </w:r>
    </w:p>
    <w:p>
      <w:pPr>
        <w:tabs>
          <w:tab w:val="left" w:pos="2525"/>
          <w:tab w:val="center" w:pos="4153"/>
        </w:tabs>
        <w:spacing w:line="400" w:lineRule="exact"/>
        <w:ind w:firstLine="2625" w:firstLineChars="1250"/>
        <w:jc w:val="left"/>
        <w:rPr>
          <w:rFonts w:ascii="宋体" w:cs="宋体"/>
          <w:szCs w:val="21"/>
        </w:rPr>
      </w:pPr>
      <w:r>
        <w:rPr>
          <w:rFonts w:hint="eastAsia" w:ascii="宋体" w:hAnsi="宋体" w:cs="宋体"/>
          <w:szCs w:val="21"/>
        </w:rPr>
        <w:t>图5多模态外语教学设计流程</w:t>
      </w:r>
    </w:p>
    <w:p>
      <w:pPr>
        <w:tabs>
          <w:tab w:val="left" w:pos="2525"/>
          <w:tab w:val="center" w:pos="4153"/>
        </w:tabs>
        <w:spacing w:line="400" w:lineRule="exact"/>
        <w:jc w:val="left"/>
        <w:rPr>
          <w:rFonts w:ascii="宋体" w:cs="宋体"/>
          <w:szCs w:val="21"/>
        </w:rPr>
      </w:pPr>
      <w:r>
        <mc:AlternateContent>
          <mc:Choice Requires="wpg">
            <w:drawing>
              <wp:anchor distT="0" distB="0" distL="114300" distR="114300" simplePos="0" relativeHeight="251659264" behindDoc="0" locked="0" layoutInCell="1" allowOverlap="1">
                <wp:simplePos x="0" y="0"/>
                <wp:positionH relativeFrom="column">
                  <wp:posOffset>-26035</wp:posOffset>
                </wp:positionH>
                <wp:positionV relativeFrom="paragraph">
                  <wp:posOffset>40005</wp:posOffset>
                </wp:positionV>
                <wp:extent cx="5399405" cy="3315970"/>
                <wp:effectExtent l="12065" t="11430" r="8255" b="6350"/>
                <wp:wrapNone/>
                <wp:docPr id="1" name="组合 1"/>
                <wp:cNvGraphicFramePr/>
                <a:graphic xmlns:a="http://schemas.openxmlformats.org/drawingml/2006/main">
                  <a:graphicData uri="http://schemas.microsoft.com/office/word/2010/wordprocessingGroup">
                    <wpg:wgp>
                      <wpg:cNvGrpSpPr/>
                      <wpg:grpSpPr>
                        <a:xfrm>
                          <a:off x="0" y="0"/>
                          <a:ext cx="5399405" cy="3315970"/>
                          <a:chOff x="5117" y="89711"/>
                          <a:chExt cx="8503" cy="5222"/>
                        </a:xfrm>
                      </wpg:grpSpPr>
                      <wpg:grpSp>
                        <wpg:cNvPr id="2" name="组合 51"/>
                        <wpg:cNvGrpSpPr/>
                        <wpg:grpSpPr>
                          <a:xfrm>
                            <a:off x="5117" y="89711"/>
                            <a:ext cx="8503" cy="5222"/>
                            <a:chOff x="14312" y="36560"/>
                            <a:chExt cx="8351" cy="5131"/>
                          </a:xfrm>
                        </wpg:grpSpPr>
                        <wps:wsp>
                          <wps:cNvPr id="3" name="圆角矩形 32"/>
                          <wps:cNvSpPr>
                            <a:spLocks noChangeArrowheads="1"/>
                          </wps:cNvSpPr>
                          <wps:spPr bwMode="auto">
                            <a:xfrm>
                              <a:off x="15299" y="39008"/>
                              <a:ext cx="1291" cy="559"/>
                            </a:xfrm>
                            <a:prstGeom prst="roundRect">
                              <a:avLst>
                                <a:gd name="adj" fmla="val 16667"/>
                              </a:avLst>
                            </a:prstGeom>
                            <a:noFill/>
                            <a:ln w="12700">
                              <a:solidFill>
                                <a:srgbClr val="1F4D78"/>
                              </a:solidFill>
                              <a:miter lim="800000"/>
                            </a:ln>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知识学习</w:t>
                                </w:r>
                              </w:p>
                            </w:txbxContent>
                          </wps:txbx>
                          <wps:bodyPr rot="0" vert="horz" wrap="square" lIns="91440" tIns="45720" rIns="91440" bIns="45720" anchor="ctr" anchorCtr="0" upright="1">
                            <a:noAutofit/>
                          </wps:bodyPr>
                        </wps:wsp>
                        <wpg:grpSp>
                          <wpg:cNvPr id="4" name="组合 50"/>
                          <wpg:cNvGrpSpPr/>
                          <wpg:grpSpPr>
                            <a:xfrm>
                              <a:off x="14312" y="36560"/>
                              <a:ext cx="8351" cy="5131"/>
                              <a:chOff x="14312" y="36560"/>
                              <a:chExt cx="8351" cy="5131"/>
                            </a:xfrm>
                          </wpg:grpSpPr>
                          <wps:wsp>
                            <wps:cNvPr id="5" name="圆角矩形 33"/>
                            <wps:cNvSpPr>
                              <a:spLocks noChangeArrowheads="1"/>
                            </wps:cNvSpPr>
                            <wps:spPr bwMode="auto">
                              <a:xfrm>
                                <a:off x="20424" y="40879"/>
                                <a:ext cx="2239" cy="811"/>
                              </a:xfrm>
                              <a:prstGeom prst="roundRect">
                                <a:avLst>
                                  <a:gd name="adj" fmla="val 16667"/>
                                </a:avLst>
                              </a:prstGeom>
                              <a:noFill/>
                              <a:ln w="12700">
                                <a:solidFill>
                                  <a:srgbClr val="1F4D78"/>
                                </a:solidFill>
                                <a:miter lim="800000"/>
                              </a:ln>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教师引导、师生交流、学生相互评价等手段</w:t>
                                  </w:r>
                                </w:p>
                              </w:txbxContent>
                            </wps:txbx>
                            <wps:bodyPr rot="0" vert="horz" wrap="square" lIns="91440" tIns="45720" rIns="91440" bIns="45720" anchor="ctr" anchorCtr="0" upright="1">
                              <a:noAutofit/>
                            </wps:bodyPr>
                          </wps:wsp>
                          <wps:wsp>
                            <wps:cNvPr id="6" name="圆角矩形 34"/>
                            <wps:cNvSpPr>
                              <a:spLocks noChangeArrowheads="1"/>
                            </wps:cNvSpPr>
                            <wps:spPr bwMode="auto">
                              <a:xfrm>
                                <a:off x="14312" y="40839"/>
                                <a:ext cx="1566" cy="825"/>
                              </a:xfrm>
                              <a:prstGeom prst="roundRect">
                                <a:avLst>
                                  <a:gd name="adj" fmla="val 16667"/>
                                </a:avLst>
                              </a:prstGeom>
                              <a:noFill/>
                              <a:ln w="12700">
                                <a:solidFill>
                                  <a:srgbClr val="1F4D78"/>
                                </a:solidFill>
                                <a:miter lim="800000"/>
                              </a:ln>
                            </wps:spPr>
                            <wps:txbx>
                              <w:txbxContent>
                                <w:p>
                                  <w:pPr>
                                    <w:jc w:val="center"/>
                                    <w:rPr>
                                      <w:b/>
                                      <w:bCs/>
                                      <w:color w:val="C00000"/>
                                      <w:sz w:val="18"/>
                                      <w:szCs w:val="18"/>
                                    </w:rPr>
                                  </w:pPr>
                                  <w:r>
                                    <w:rPr>
                                      <w:rFonts w:hint="eastAsia"/>
                                      <w:color w:val="000000" w:themeColor="text1"/>
                                      <w:sz w:val="18"/>
                                      <w:szCs w:val="18"/>
                                      <w14:textFill>
                                        <w14:solidFill>
                                          <w14:schemeClr w14:val="tx1"/>
                                        </w14:solidFill>
                                      </w14:textFill>
                                    </w:rPr>
                                    <w:t>写作、演讲等具体外语教学模</w:t>
                                  </w:r>
                                  <w:r>
                                    <w:rPr>
                                      <w:rFonts w:hint="eastAsia"/>
                                      <w:b/>
                                      <w:bCs/>
                                      <w:color w:val="C00000"/>
                                      <w:sz w:val="18"/>
                                      <w:szCs w:val="18"/>
                                    </w:rPr>
                                    <w:t>块</w:t>
                                  </w:r>
                                </w:p>
                              </w:txbxContent>
                            </wps:txbx>
                            <wps:bodyPr rot="0" vert="horz" wrap="square" lIns="91440" tIns="45720" rIns="91440" bIns="45720" anchor="ctr" anchorCtr="0" upright="1">
                              <a:noAutofit/>
                            </wps:bodyPr>
                          </wps:wsp>
                          <wpg:grpSp>
                            <wpg:cNvPr id="7" name="组合 49"/>
                            <wpg:cNvGrpSpPr/>
                            <wpg:grpSpPr>
                              <a:xfrm>
                                <a:off x="14595" y="36560"/>
                                <a:ext cx="7185" cy="5131"/>
                                <a:chOff x="14595" y="36560"/>
                                <a:chExt cx="7185" cy="5131"/>
                              </a:xfrm>
                            </wpg:grpSpPr>
                            <wps:wsp>
                              <wps:cNvPr id="8" name="圆角矩形 35"/>
                              <wps:cNvSpPr>
                                <a:spLocks noChangeArrowheads="1"/>
                              </wps:cNvSpPr>
                              <wps:spPr bwMode="auto">
                                <a:xfrm>
                                  <a:off x="14595" y="36561"/>
                                  <a:ext cx="2685" cy="813"/>
                                </a:xfrm>
                                <a:prstGeom prst="roundRect">
                                  <a:avLst>
                                    <a:gd name="adj" fmla="val 16667"/>
                                  </a:avLst>
                                </a:prstGeom>
                                <a:noFill/>
                                <a:ln w="12700">
                                  <a:solidFill>
                                    <a:srgbClr val="1F4D78"/>
                                  </a:solidFill>
                                  <a:miter lim="800000"/>
                                </a:ln>
                              </wps:spPr>
                              <wps:txbx>
                                <w:txbxContent>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语言知识、跨文化交际知识、学习策略理论知识等</w:t>
                                    </w:r>
                                  </w:p>
                                </w:txbxContent>
                              </wps:txbx>
                              <wps:bodyPr rot="0" vert="horz" wrap="square" lIns="91440" tIns="45720" rIns="91440" bIns="45720" anchor="ctr" anchorCtr="0" upright="1">
                                <a:noAutofit/>
                              </wps:bodyPr>
                            </wps:wsp>
                            <wps:wsp>
                              <wps:cNvPr id="9" name="圆角矩形 36"/>
                              <wps:cNvSpPr>
                                <a:spLocks noChangeArrowheads="1"/>
                              </wps:cNvSpPr>
                              <wps:spPr bwMode="auto">
                                <a:xfrm>
                                  <a:off x="19756" y="39008"/>
                                  <a:ext cx="1440" cy="574"/>
                                </a:xfrm>
                                <a:prstGeom prst="roundRect">
                                  <a:avLst>
                                    <a:gd name="adj" fmla="val 16667"/>
                                  </a:avLst>
                                </a:prstGeom>
                                <a:noFill/>
                                <a:ln w="12700">
                                  <a:solidFill>
                                    <a:srgbClr val="1F4D78"/>
                                  </a:solidFill>
                                  <a:miter lim="800000"/>
                                </a:ln>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能力训练</w:t>
                                    </w:r>
                                  </w:p>
                                </w:txbxContent>
                              </wps:txbx>
                              <wps:bodyPr rot="0" vert="horz" wrap="square" lIns="91440" tIns="45720" rIns="91440" bIns="45720" anchor="ctr" anchorCtr="0" upright="1">
                                <a:noAutofit/>
                              </wps:bodyPr>
                            </wps:wsp>
                            <wps:wsp>
                              <wps:cNvPr id="10" name="圆角矩形 37"/>
                              <wps:cNvSpPr>
                                <a:spLocks noChangeArrowheads="1"/>
                              </wps:cNvSpPr>
                              <wps:spPr bwMode="auto">
                                <a:xfrm>
                                  <a:off x="19049" y="36560"/>
                                  <a:ext cx="2731" cy="813"/>
                                </a:xfrm>
                                <a:prstGeom prst="roundRect">
                                  <a:avLst>
                                    <a:gd name="adj" fmla="val 16667"/>
                                  </a:avLst>
                                </a:prstGeom>
                                <a:noFill/>
                                <a:ln w="12700">
                                  <a:solidFill>
                                    <a:srgbClr val="1F4D78"/>
                                  </a:solidFill>
                                  <a:miter lim="800000"/>
                                </a:ln>
                              </wps:spPr>
                              <wps:txbx>
                                <w:txbxContent>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语言应用能力、跨文化交际</w:t>
                                    </w:r>
                                  </w:p>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能力、学习策略实施能力等</w:t>
                                    </w:r>
                                  </w:p>
                                </w:txbxContent>
                              </wps:txbx>
                              <wps:bodyPr rot="0" vert="horz" wrap="square" lIns="91440" tIns="45720" rIns="91440" bIns="45720" anchor="ctr" anchorCtr="0" upright="1">
                                <a:noAutofit/>
                              </wps:bodyPr>
                            </wps:wsp>
                            <wps:wsp>
                              <wps:cNvPr id="11" name="圆角矩形 38"/>
                              <wps:cNvSpPr>
                                <a:spLocks noChangeArrowheads="1"/>
                              </wps:cNvSpPr>
                              <wps:spPr bwMode="auto">
                                <a:xfrm>
                                  <a:off x="17222" y="39834"/>
                                  <a:ext cx="1890" cy="527"/>
                                </a:xfrm>
                                <a:prstGeom prst="roundRect">
                                  <a:avLst>
                                    <a:gd name="adj" fmla="val 16667"/>
                                  </a:avLst>
                                </a:prstGeom>
                                <a:noFill/>
                                <a:ln w="12700">
                                  <a:solidFill>
                                    <a:srgbClr val="1F4D78"/>
                                  </a:solidFill>
                                  <a:miter lim="800000"/>
                                </a:ln>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思辨能力</w:t>
                                    </w:r>
                                  </w:p>
                                </w:txbxContent>
                              </wps:txbx>
                              <wps:bodyPr rot="0" vert="horz" wrap="square" lIns="91440" tIns="45720" rIns="91440" bIns="45720" anchor="ctr" anchorCtr="0" upright="1">
                                <a:noAutofit/>
                              </wps:bodyPr>
                            </wps:wsp>
                            <wps:wsp>
                              <wps:cNvPr id="12" name="圆角矩形 39"/>
                              <wps:cNvSpPr>
                                <a:spLocks noChangeArrowheads="1"/>
                              </wps:cNvSpPr>
                              <wps:spPr bwMode="auto">
                                <a:xfrm>
                                  <a:off x="16527" y="40850"/>
                                  <a:ext cx="1641" cy="840"/>
                                </a:xfrm>
                                <a:prstGeom prst="roundRect">
                                  <a:avLst>
                                    <a:gd name="adj" fmla="val 16667"/>
                                  </a:avLst>
                                </a:prstGeom>
                                <a:noFill/>
                                <a:ln w="12700">
                                  <a:solidFill>
                                    <a:srgbClr val="1F4D78"/>
                                  </a:solidFill>
                                  <a:miter lim="800000"/>
                                </a:ln>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概括、分析、评价等认知能力</w:t>
                                    </w:r>
                                  </w:p>
                                  <w:p>
                                    <w:pPr>
                                      <w:rPr>
                                        <w:b/>
                                        <w:bCs/>
                                        <w:color w:val="C00000"/>
                                        <w:sz w:val="18"/>
                                        <w:szCs w:val="18"/>
                                      </w:rPr>
                                    </w:pPr>
                                    <w:r>
                                      <w:rPr>
                                        <w:rFonts w:hint="eastAsia"/>
                                        <w:b/>
                                        <w:bCs/>
                                        <w:color w:val="C00000"/>
                                        <w:sz w:val="18"/>
                                        <w:szCs w:val="18"/>
                                      </w:rPr>
                                      <w:t>认知能力</w:t>
                                    </w:r>
                                  </w:p>
                                </w:txbxContent>
                              </wps:txbx>
                              <wps:bodyPr rot="0" vert="horz" wrap="square" lIns="91440" tIns="45720" rIns="91440" bIns="45720" anchor="ctr" anchorCtr="0" upright="1">
                                <a:noAutofit/>
                              </wps:bodyPr>
                            </wps:wsp>
                            <wps:wsp>
                              <wps:cNvPr id="13" name="下箭头 40"/>
                              <wps:cNvSpPr>
                                <a:spLocks noChangeArrowheads="1"/>
                              </wps:cNvSpPr>
                              <wps:spPr bwMode="auto">
                                <a:xfrm>
                                  <a:off x="15478" y="37373"/>
                                  <a:ext cx="930" cy="1588"/>
                                </a:xfrm>
                                <a:prstGeom prst="downArrow">
                                  <a:avLst>
                                    <a:gd name="adj1" fmla="val 50000"/>
                                    <a:gd name="adj2" fmla="val 50000"/>
                                  </a:avLst>
                                </a:prstGeom>
                                <a:noFill/>
                                <a:ln w="12700">
                                  <a:solidFill>
                                    <a:srgbClr val="1F4D78"/>
                                  </a:solidFill>
                                  <a:miter lim="800000"/>
                                </a:ln>
                              </wps:spPr>
                              <wps:txbx>
                                <w:txbxContent>
                                  <w:p>
                                    <w:pPr>
                                      <w:jc w:val="center"/>
                                      <w:rPr>
                                        <w:color w:val="C00000"/>
                                        <w:sz w:val="18"/>
                                        <w:szCs w:val="18"/>
                                      </w:rPr>
                                    </w:pPr>
                                    <w:r>
                                      <w:rPr>
                                        <w:rFonts w:hint="eastAsia"/>
                                        <w:color w:val="000000" w:themeColor="text1"/>
                                        <w:sz w:val="18"/>
                                        <w:szCs w:val="18"/>
                                        <w14:textFill>
                                          <w14:solidFill>
                                            <w14:schemeClr w14:val="tx1"/>
                                          </w14:solidFill>
                                        </w14:textFill>
                                      </w:rPr>
                                      <w:t>在线学习</w:t>
                                    </w:r>
                                  </w:p>
                                </w:txbxContent>
                              </wps:txbx>
                              <wps:bodyPr rot="0" vert="horz" wrap="square" lIns="91440" tIns="45720" rIns="91440" bIns="45720" anchor="ctr" anchorCtr="0" upright="1">
                                <a:noAutofit/>
                              </wps:bodyPr>
                            </wps:wsp>
                            <wps:wsp>
                              <wps:cNvPr id="14" name="下箭头 41"/>
                              <wps:cNvSpPr>
                                <a:spLocks noChangeArrowheads="1"/>
                              </wps:cNvSpPr>
                              <wps:spPr bwMode="auto">
                                <a:xfrm>
                                  <a:off x="20085" y="37388"/>
                                  <a:ext cx="915" cy="1618"/>
                                </a:xfrm>
                                <a:prstGeom prst="downArrow">
                                  <a:avLst>
                                    <a:gd name="adj1" fmla="val 50000"/>
                                    <a:gd name="adj2" fmla="val 50004"/>
                                  </a:avLst>
                                </a:prstGeom>
                                <a:noFill/>
                                <a:ln w="12700">
                                  <a:solidFill>
                                    <a:srgbClr val="1F4D78"/>
                                  </a:solidFill>
                                  <a:miter lim="800000"/>
                                </a:ln>
                              </wps:spPr>
                              <wps:txbx>
                                <w:txbxContent>
                                  <w:p>
                                    <w:pPr>
                                      <w:jc w:val="center"/>
                                      <w:rPr>
                                        <w:b/>
                                        <w:bCs/>
                                        <w:color w:val="000000" w:themeColor="text1"/>
                                        <w14:textFill>
                                          <w14:solidFill>
                                            <w14:schemeClr w14:val="tx1"/>
                                          </w14:solidFill>
                                        </w14:textFill>
                                      </w:rPr>
                                    </w:pPr>
                                    <w:r>
                                      <w:rPr>
                                        <w:rFonts w:hint="eastAsia"/>
                                        <w:color w:val="000000" w:themeColor="text1"/>
                                        <w:sz w:val="18"/>
                                        <w:szCs w:val="18"/>
                                        <w14:textFill>
                                          <w14:solidFill>
                                            <w14:schemeClr w14:val="tx1"/>
                                          </w14:solidFill>
                                        </w14:textFill>
                                      </w:rPr>
                                      <w:t>翻转课堂</w:t>
                                    </w:r>
                                  </w:p>
                                </w:txbxContent>
                              </wps:txbx>
                              <wps:bodyPr rot="0" vert="horz" wrap="square" lIns="91440" tIns="45720" rIns="91440" bIns="45720" anchor="ctr" anchorCtr="0" upright="1">
                                <a:noAutofit/>
                              </wps:bodyPr>
                            </wps:wsp>
                            <wps:wsp>
                              <wps:cNvPr id="15" name="左右箭头 42"/>
                              <wps:cNvSpPr>
                                <a:spLocks noChangeArrowheads="1"/>
                              </wps:cNvSpPr>
                              <wps:spPr bwMode="auto">
                                <a:xfrm>
                                  <a:off x="16171" y="37479"/>
                                  <a:ext cx="4150" cy="916"/>
                                </a:xfrm>
                                <a:prstGeom prst="leftRightArrow">
                                  <a:avLst>
                                    <a:gd name="adj1" fmla="val 50000"/>
                                    <a:gd name="adj2" fmla="val 50004"/>
                                  </a:avLst>
                                </a:prstGeom>
                                <a:noFill/>
                                <a:ln w="12700">
                                  <a:solidFill>
                                    <a:srgbClr val="1F4D78"/>
                                  </a:solidFill>
                                  <a:miter lim="800000"/>
                                </a:ln>
                              </wps:spPr>
                              <wps:txbx>
                                <w:txbxContent>
                                  <w:p>
                                    <w:pPr>
                                      <w:jc w:val="center"/>
                                      <w:rPr>
                                        <w:color w:val="C00000"/>
                                        <w:sz w:val="18"/>
                                        <w:szCs w:val="18"/>
                                      </w:rPr>
                                    </w:pPr>
                                    <w:r>
                                      <w:rPr>
                                        <w:rFonts w:hint="eastAsia"/>
                                        <w:color w:val="000000" w:themeColor="text1"/>
                                        <w:sz w:val="18"/>
                                        <w:szCs w:val="18"/>
                                        <w14:textFill>
                                          <w14:solidFill>
                                            <w14:schemeClr w14:val="tx1"/>
                                          </w14:solidFill>
                                        </w14:textFill>
                                      </w:rPr>
                                      <w:t>相互辅助与结合</w:t>
                                    </w:r>
                                  </w:p>
                                </w:txbxContent>
                              </wps:txbx>
                              <wps:bodyPr rot="0" vert="horz" wrap="square" lIns="91440" tIns="45720" rIns="91440" bIns="45720" anchor="ctr" anchorCtr="0" upright="1">
                                <a:noAutofit/>
                              </wps:bodyPr>
                            </wps:wsp>
                            <wps:wsp>
                              <wps:cNvPr id="16" name="左右箭头 43"/>
                              <wps:cNvSpPr>
                                <a:spLocks noChangeArrowheads="1"/>
                              </wps:cNvSpPr>
                              <wps:spPr bwMode="auto">
                                <a:xfrm>
                                  <a:off x="16622" y="38844"/>
                                  <a:ext cx="3129" cy="813"/>
                                </a:xfrm>
                                <a:prstGeom prst="leftRightArrow">
                                  <a:avLst>
                                    <a:gd name="adj1" fmla="val 50000"/>
                                    <a:gd name="adj2" fmla="val 49998"/>
                                  </a:avLst>
                                </a:prstGeom>
                                <a:noFill/>
                                <a:ln w="12700">
                                  <a:solidFill>
                                    <a:srgbClr val="1F4D78"/>
                                  </a:solidFill>
                                  <a:miter lim="800000"/>
                                </a:ln>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相互促进与转化</w:t>
                                    </w:r>
                                  </w:p>
                                </w:txbxContent>
                              </wps:txbx>
                              <wps:bodyPr rot="0" vert="horz" wrap="square" lIns="91440" tIns="45720" rIns="91440" bIns="45720" anchor="ctr" anchorCtr="0" upright="1">
                                <a:noAutofit/>
                              </wps:bodyPr>
                            </wps:wsp>
                            <wps:wsp>
                              <wps:cNvPr id="17" name="任意多边形 44"/>
                              <wps:cNvSpPr/>
                              <wps:spPr bwMode="auto">
                                <a:xfrm rot="5400000">
                                  <a:off x="16184" y="39205"/>
                                  <a:ext cx="631" cy="1418"/>
                                </a:xfrm>
                                <a:custGeom>
                                  <a:avLst/>
                                  <a:gdLst>
                                    <a:gd name="T0" fmla="*/ 0 w 10000"/>
                                    <a:gd name="T1" fmla="*/ 1260 h 10000"/>
                                    <a:gd name="T2" fmla="*/ 158 w 10000"/>
                                    <a:gd name="T3" fmla="*/ 1103 h 10000"/>
                                    <a:gd name="T4" fmla="*/ 158 w 10000"/>
                                    <a:gd name="T5" fmla="*/ 1181 h 10000"/>
                                    <a:gd name="T6" fmla="*/ 394 w 10000"/>
                                    <a:gd name="T7" fmla="*/ 1181 h 10000"/>
                                    <a:gd name="T8" fmla="*/ 394 w 10000"/>
                                    <a:gd name="T9" fmla="*/ 158 h 10000"/>
                                    <a:gd name="T10" fmla="*/ 316 w 10000"/>
                                    <a:gd name="T11" fmla="*/ 158 h 10000"/>
                                    <a:gd name="T12" fmla="*/ 473 w 10000"/>
                                    <a:gd name="T13" fmla="*/ 0 h 10000"/>
                                    <a:gd name="T14" fmla="*/ 631 w 10000"/>
                                    <a:gd name="T15" fmla="*/ 158 h 10000"/>
                                    <a:gd name="T16" fmla="*/ 552 w 10000"/>
                                    <a:gd name="T17" fmla="*/ 158 h 10000"/>
                                    <a:gd name="T18" fmla="*/ 552 w 10000"/>
                                    <a:gd name="T19" fmla="*/ 1339 h 10000"/>
                                    <a:gd name="T20" fmla="*/ 158 w 10000"/>
                                    <a:gd name="T21" fmla="*/ 1339 h 10000"/>
                                    <a:gd name="T22" fmla="*/ 158 w 10000"/>
                                    <a:gd name="T23" fmla="*/ 1418 h 10000"/>
                                    <a:gd name="T24" fmla="*/ 0 w 10000"/>
                                    <a:gd name="T25" fmla="*/ 1260 h 1000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0000"/>
                                    <a:gd name="T40" fmla="*/ 0 h 10000"/>
                                    <a:gd name="T41" fmla="*/ 10000 w 10000"/>
                                    <a:gd name="T42" fmla="*/ 10000 h 1000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0000" h="10000">
                                      <a:moveTo>
                                        <a:pt x="0" y="8886"/>
                                      </a:moveTo>
                                      <a:lnTo>
                                        <a:pt x="2504" y="7779"/>
                                      </a:lnTo>
                                      <a:lnTo>
                                        <a:pt x="2504" y="8329"/>
                                      </a:lnTo>
                                      <a:lnTo>
                                        <a:pt x="6244" y="8329"/>
                                      </a:lnTo>
                                      <a:lnTo>
                                        <a:pt x="6244" y="1114"/>
                                      </a:lnTo>
                                      <a:lnTo>
                                        <a:pt x="5008" y="1114"/>
                                      </a:lnTo>
                                      <a:lnTo>
                                        <a:pt x="7496" y="0"/>
                                      </a:lnTo>
                                      <a:lnTo>
                                        <a:pt x="10000" y="1114"/>
                                      </a:lnTo>
                                      <a:lnTo>
                                        <a:pt x="8748" y="1114"/>
                                      </a:lnTo>
                                      <a:lnTo>
                                        <a:pt x="8748" y="9443"/>
                                      </a:lnTo>
                                      <a:lnTo>
                                        <a:pt x="2504" y="9443"/>
                                      </a:lnTo>
                                      <a:lnTo>
                                        <a:pt x="2504" y="10000"/>
                                      </a:lnTo>
                                      <a:lnTo>
                                        <a:pt x="0" y="8886"/>
                                      </a:lnTo>
                                      <a:close/>
                                    </a:path>
                                  </a:pathLst>
                                </a:custGeom>
                                <a:noFill/>
                                <a:ln w="12700">
                                  <a:solidFill>
                                    <a:srgbClr val="1F4D78"/>
                                  </a:solidFill>
                                  <a:miter lim="800000"/>
                                </a:ln>
                              </wps:spPr>
                              <wps:txbx>
                                <w:txbxContent>
                                  <w:p>
                                    <w:pPr>
                                      <w:jc w:val="center"/>
                                      <w:rPr>
                                        <w:color w:val="C00000"/>
                                      </w:rPr>
                                    </w:pPr>
                                  </w:p>
                                </w:txbxContent>
                              </wps:txbx>
                              <wps:bodyPr rot="0" vert="horz" wrap="square" lIns="91440" tIns="45720" rIns="91440" bIns="45720" anchor="ctr" anchorCtr="0" upright="1">
                                <a:noAutofit/>
                              </wps:bodyPr>
                            </wps:wsp>
                            <wps:wsp>
                              <wps:cNvPr id="18" name="任意多边形 45"/>
                              <wps:cNvSpPr/>
                              <wps:spPr bwMode="auto">
                                <a:xfrm>
                                  <a:off x="19142" y="39601"/>
                                  <a:ext cx="1523" cy="646"/>
                                </a:xfrm>
                                <a:custGeom>
                                  <a:avLst/>
                                  <a:gdLst>
                                    <a:gd name="T0" fmla="*/ 0 w 10000"/>
                                    <a:gd name="T1" fmla="*/ 485 h 10000"/>
                                    <a:gd name="T2" fmla="*/ 162 w 10000"/>
                                    <a:gd name="T3" fmla="*/ 323 h 10000"/>
                                    <a:gd name="T4" fmla="*/ 162 w 10000"/>
                                    <a:gd name="T5" fmla="*/ 404 h 10000"/>
                                    <a:gd name="T6" fmla="*/ 1281 w 10000"/>
                                    <a:gd name="T7" fmla="*/ 404 h 10000"/>
                                    <a:gd name="T8" fmla="*/ 1281 w 10000"/>
                                    <a:gd name="T9" fmla="*/ 162 h 10000"/>
                                    <a:gd name="T10" fmla="*/ 1200 w 10000"/>
                                    <a:gd name="T11" fmla="*/ 162 h 10000"/>
                                    <a:gd name="T12" fmla="*/ 1362 w 10000"/>
                                    <a:gd name="T13" fmla="*/ 0 h 10000"/>
                                    <a:gd name="T14" fmla="*/ 1523 w 10000"/>
                                    <a:gd name="T15" fmla="*/ 162 h 10000"/>
                                    <a:gd name="T16" fmla="*/ 1442 w 10000"/>
                                    <a:gd name="T17" fmla="*/ 162 h 10000"/>
                                    <a:gd name="T18" fmla="*/ 1442 w 10000"/>
                                    <a:gd name="T19" fmla="*/ 565 h 10000"/>
                                    <a:gd name="T20" fmla="*/ 162 w 10000"/>
                                    <a:gd name="T21" fmla="*/ 565 h 10000"/>
                                    <a:gd name="T22" fmla="*/ 162 w 10000"/>
                                    <a:gd name="T23" fmla="*/ 646 h 10000"/>
                                    <a:gd name="T24" fmla="*/ 0 w 10000"/>
                                    <a:gd name="T25" fmla="*/ 485 h 1000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0000"/>
                                    <a:gd name="T40" fmla="*/ 0 h 10000"/>
                                    <a:gd name="T41" fmla="*/ 10000 w 10000"/>
                                    <a:gd name="T42" fmla="*/ 10000 h 1000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0000" h="10000">
                                      <a:moveTo>
                                        <a:pt x="0" y="7508"/>
                                      </a:moveTo>
                                      <a:lnTo>
                                        <a:pt x="1064" y="5000"/>
                                      </a:lnTo>
                                      <a:lnTo>
                                        <a:pt x="1064" y="6254"/>
                                      </a:lnTo>
                                      <a:lnTo>
                                        <a:pt x="8411" y="6254"/>
                                      </a:lnTo>
                                      <a:lnTo>
                                        <a:pt x="8411" y="2508"/>
                                      </a:lnTo>
                                      <a:lnTo>
                                        <a:pt x="7879" y="2508"/>
                                      </a:lnTo>
                                      <a:lnTo>
                                        <a:pt x="8943" y="0"/>
                                      </a:lnTo>
                                      <a:lnTo>
                                        <a:pt x="10000" y="2508"/>
                                      </a:lnTo>
                                      <a:lnTo>
                                        <a:pt x="9468" y="2508"/>
                                      </a:lnTo>
                                      <a:lnTo>
                                        <a:pt x="9468" y="8746"/>
                                      </a:lnTo>
                                      <a:lnTo>
                                        <a:pt x="1064" y="8746"/>
                                      </a:lnTo>
                                      <a:lnTo>
                                        <a:pt x="1064" y="10000"/>
                                      </a:lnTo>
                                      <a:lnTo>
                                        <a:pt x="0" y="7508"/>
                                      </a:lnTo>
                                      <a:close/>
                                    </a:path>
                                  </a:pathLst>
                                </a:custGeom>
                                <a:noFill/>
                                <a:ln w="12700">
                                  <a:solidFill>
                                    <a:srgbClr val="1F4D78"/>
                                  </a:solidFill>
                                  <a:miter lim="800000"/>
                                </a:ln>
                              </wps:spPr>
                              <wps:txbx>
                                <w:txbxContent>
                                  <w:p>
                                    <w:pPr>
                                      <w:rPr>
                                        <w:b/>
                                        <w:bCs/>
                                        <w:color w:val="C00000"/>
                                      </w:rPr>
                                    </w:pPr>
                                  </w:p>
                                </w:txbxContent>
                              </wps:txbx>
                              <wps:bodyPr rot="0" vert="horz" wrap="square" lIns="91440" tIns="45720" rIns="91440" bIns="45720" anchor="ctr" anchorCtr="0" upright="1">
                                <a:noAutofit/>
                              </wps:bodyPr>
                            </wps:wsp>
                            <wps:wsp>
                              <wps:cNvPr id="19" name="右箭头 46"/>
                              <wps:cNvSpPr>
                                <a:spLocks noChangeArrowheads="1"/>
                              </wps:cNvSpPr>
                              <wps:spPr bwMode="auto">
                                <a:xfrm rot="5400000">
                                  <a:off x="17225" y="40411"/>
                                  <a:ext cx="463" cy="350"/>
                                </a:xfrm>
                                <a:prstGeom prst="rightArrow">
                                  <a:avLst>
                                    <a:gd name="adj1" fmla="val 50000"/>
                                    <a:gd name="adj2" fmla="val 49999"/>
                                  </a:avLst>
                                </a:prstGeom>
                                <a:noFill/>
                                <a:ln w="12700">
                                  <a:solidFill>
                                    <a:srgbClr val="1F4D78"/>
                                  </a:solidFill>
                                  <a:miter lim="800000"/>
                                </a:ln>
                              </wps:spPr>
                              <wps:bodyPr rot="0" vert="horz" wrap="square" lIns="91440" tIns="45720" rIns="91440" bIns="45720" anchor="ctr" anchorCtr="0" upright="1">
                                <a:noAutofit/>
                              </wps:bodyPr>
                            </wps:wsp>
                            <wps:wsp>
                              <wps:cNvPr id="20" name="右箭头 47"/>
                              <wps:cNvSpPr>
                                <a:spLocks noChangeArrowheads="1"/>
                              </wps:cNvSpPr>
                              <wps:spPr bwMode="auto">
                                <a:xfrm rot="5400000">
                                  <a:off x="18476" y="40430"/>
                                  <a:ext cx="479" cy="336"/>
                                </a:xfrm>
                                <a:prstGeom prst="rightArrow">
                                  <a:avLst>
                                    <a:gd name="adj1" fmla="val 50000"/>
                                    <a:gd name="adj2" fmla="val 50001"/>
                                  </a:avLst>
                                </a:prstGeom>
                                <a:noFill/>
                                <a:ln w="12700">
                                  <a:solidFill>
                                    <a:srgbClr val="1F4D78"/>
                                  </a:solidFill>
                                  <a:miter lim="800000"/>
                                </a:ln>
                              </wps:spPr>
                              <wps:bodyPr rot="0" vert="horz" wrap="square" lIns="91440" tIns="45720" rIns="91440" bIns="45720" anchor="ctr" anchorCtr="0" upright="1">
                                <a:noAutofit/>
                              </wps:bodyPr>
                            </wps:wsp>
                            <wps:wsp>
                              <wps:cNvPr id="21" name="圆角矩形 48"/>
                              <wps:cNvSpPr>
                                <a:spLocks noChangeArrowheads="1"/>
                              </wps:cNvSpPr>
                              <wps:spPr bwMode="auto">
                                <a:xfrm>
                                  <a:off x="18242" y="40836"/>
                                  <a:ext cx="1609" cy="855"/>
                                </a:xfrm>
                                <a:prstGeom prst="roundRect">
                                  <a:avLst>
                                    <a:gd name="adj" fmla="val 16667"/>
                                  </a:avLst>
                                </a:prstGeom>
                                <a:noFill/>
                                <a:ln w="12700">
                                  <a:solidFill>
                                    <a:srgbClr val="1F4D78"/>
                                  </a:solidFill>
                                  <a:miter lim="800000"/>
                                </a:ln>
                              </wps:spPr>
                              <wps:txbx>
                                <w:txbxContent>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自信、正直、开放等情感因素</w:t>
                                    </w:r>
                                  </w:p>
                                </w:txbxContent>
                              </wps:txbx>
                              <wps:bodyPr rot="0" vert="horz" wrap="square" lIns="91440" tIns="45720" rIns="91440" bIns="45720" anchor="ctr" anchorCtr="0" upright="1">
                                <a:noAutofit/>
                              </wps:bodyPr>
                            </wps:wsp>
                          </wpg:grpSp>
                        </wpg:grpSp>
                      </wpg:grpSp>
                      <wps:wsp>
                        <wps:cNvPr id="22" name="右箭头 52"/>
                        <wps:cNvSpPr>
                          <a:spLocks noChangeArrowheads="1"/>
                        </wps:cNvSpPr>
                        <wps:spPr bwMode="auto">
                          <a:xfrm>
                            <a:off x="6704" y="94338"/>
                            <a:ext cx="675" cy="330"/>
                          </a:xfrm>
                          <a:prstGeom prst="rightArrow">
                            <a:avLst>
                              <a:gd name="adj1" fmla="val 50000"/>
                              <a:gd name="adj2" fmla="val 50000"/>
                            </a:avLst>
                          </a:prstGeom>
                          <a:noFill/>
                          <a:ln w="12700">
                            <a:solidFill>
                              <a:srgbClr val="1F4D78"/>
                            </a:solidFill>
                            <a:miter lim="800000"/>
                          </a:ln>
                        </wps:spPr>
                        <wps:bodyPr rot="0" vert="horz" wrap="square" lIns="91440" tIns="45720" rIns="91440" bIns="45720" anchor="ctr" anchorCtr="0" upright="1">
                          <a:noAutofit/>
                        </wps:bodyPr>
                      </wps:wsp>
                      <wps:wsp>
                        <wps:cNvPr id="23" name="左箭头 53"/>
                        <wps:cNvSpPr>
                          <a:spLocks noChangeArrowheads="1"/>
                        </wps:cNvSpPr>
                        <wps:spPr bwMode="auto">
                          <a:xfrm>
                            <a:off x="10741" y="94398"/>
                            <a:ext cx="582" cy="285"/>
                          </a:xfrm>
                          <a:prstGeom prst="leftArrow">
                            <a:avLst>
                              <a:gd name="adj1" fmla="val 50000"/>
                              <a:gd name="adj2" fmla="val 50003"/>
                            </a:avLst>
                          </a:prstGeom>
                          <a:noFill/>
                          <a:ln w="12700">
                            <a:solidFill>
                              <a:srgbClr val="1F4D78"/>
                            </a:solidFill>
                            <a:miter lim="800000"/>
                          </a:ln>
                        </wps:spPr>
                        <wps:bodyPr rot="0" vert="horz" wrap="square" lIns="91440" tIns="45720" rIns="91440" bIns="45720" anchor="ctr" anchorCtr="0" upright="1">
                          <a:noAutofit/>
                        </wps:bodyPr>
                      </wps:wsp>
                    </wpg:wgp>
                  </a:graphicData>
                </a:graphic>
              </wp:anchor>
            </w:drawing>
          </mc:Choice>
          <mc:Fallback>
            <w:pict>
              <v:group id="_x0000_s1026" o:spid="_x0000_s1026" o:spt="203" style="position:absolute;left:0pt;margin-left:-2.05pt;margin-top:3.15pt;height:261.1pt;width:425.15pt;z-index:251659264;mso-width-relative:page;mso-height-relative:page;" coordorigin="5117,89711" coordsize="8503,5222" o:gfxdata="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">
                <o:lock v:ext="edit" aspectratio="f"/>
                <v:group id="组合 51" o:spid="_x0000_s1026" o:spt="203" style="position:absolute;left:5117;top:89711;height:5222;width:8503;" coordorigin="14312,36560" coordsize="8351,5131"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roundrect id="圆角矩形 32" o:spid="_x0000_s1026" o:spt="2" style="position:absolute;left:15299;top:39008;height:559;width:1291;v-text-anchor:middle;" filled="f" stroked="t" coordsize="21600,21600" arcsize="0.166666666666667" o:gfxdata="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DJFyvQAA&#10;ANoAAAAPAAAAAAAAAAEAIAAAACIAAABkcnMvZG93bnJldi54bWxQSwECFAAUAAAACACHTuJAMy8F&#10;njsAAAA5AAAAEAAAAAAAAAABACAAAAAMAQAAZHJzL3NoYXBleG1sLnhtbFBLBQYAAAAABgAGAFsB&#10;AAC2AwAAAAA=&#10;">
                    <v:fill on="f" focussize="0,0"/>
                    <v:stroke weight="1pt" color="#1F4D78"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知识学习</w:t>
                          </w:r>
                        </w:p>
                      </w:txbxContent>
                    </v:textbox>
                  </v:roundrect>
                  <v:group id="组合 50" o:spid="_x0000_s1026" o:spt="203" style="position:absolute;left:14312;top:36560;height:5131;width:8351;" coordorigin="14312,36560" coordsize="8351,5131"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roundrect id="圆角矩形 33" o:spid="_x0000_s1026" o:spt="2" style="position:absolute;left:20424;top:40879;height:811;width:2239;v-text-anchor:middle;" filled="f" stroked="t" coordsize="21600,21600" arcsize="0.166666666666667" o:gfxdata="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qaydvQAA&#10;ANoAAAAPAAAAAAAAAAEAIAAAACIAAABkcnMvZG93bnJldi54bWxQSwECFAAUAAAACACHTuJAMy8F&#10;njsAAAA5AAAAEAAAAAAAAAABACAAAAAMAQAAZHJzL3NoYXBleG1sLnhtbFBLBQYAAAAABgAGAFsB&#10;AAC2AwAAAAA=&#10;">
                      <v:fill on="f" focussize="0,0"/>
                      <v:stroke weight="1pt" color="#1F4D78"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教师引导、师生交流、学生相互评价等手段</w:t>
                            </w:r>
                          </w:p>
                        </w:txbxContent>
                      </v:textbox>
                    </v:roundrect>
                    <v:roundrect id="圆角矩形 34" o:spid="_x0000_s1026" o:spt="2" style="position:absolute;left:14312;top:40839;height:825;width:1566;v-text-anchor:middle;" filled="f" stroked="t" coordsize="21600,21600" arcsize="0.166666666666667" o:gfxdata="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ezLqvQAA&#10;ANoAAAAPAAAAAAAAAAEAIAAAACIAAABkcnMvZG93bnJldi54bWxQSwECFAAUAAAACACHTuJAMy8F&#10;njsAAAA5AAAAEAAAAAAAAAABACAAAAAMAQAAZHJzL3NoYXBleG1sLnhtbFBLBQYAAAAABgAGAFsB&#10;AAC2AwAAAAA=&#10;">
                      <v:fill on="f" focussize="0,0"/>
                      <v:stroke weight="1pt" color="#1F4D78" miterlimit="8" joinstyle="miter"/>
                      <v:imagedata o:title=""/>
                      <o:lock v:ext="edit" aspectratio="f"/>
                      <v:textbox>
                        <w:txbxContent>
                          <w:p>
                            <w:pPr>
                              <w:jc w:val="center"/>
                              <w:rPr>
                                <w:b/>
                                <w:bCs/>
                                <w:color w:val="C00000"/>
                                <w:sz w:val="18"/>
                                <w:szCs w:val="18"/>
                              </w:rPr>
                            </w:pPr>
                            <w:r>
                              <w:rPr>
                                <w:rFonts w:hint="eastAsia"/>
                                <w:color w:val="000000" w:themeColor="text1"/>
                                <w:sz w:val="18"/>
                                <w:szCs w:val="18"/>
                                <w14:textFill>
                                  <w14:solidFill>
                                    <w14:schemeClr w14:val="tx1"/>
                                  </w14:solidFill>
                                </w14:textFill>
                              </w:rPr>
                              <w:t>写作、演讲等具体外语教学模</w:t>
                            </w:r>
                            <w:r>
                              <w:rPr>
                                <w:rFonts w:hint="eastAsia"/>
                                <w:b/>
                                <w:bCs/>
                                <w:color w:val="C00000"/>
                                <w:sz w:val="18"/>
                                <w:szCs w:val="18"/>
                              </w:rPr>
                              <w:t>块</w:t>
                            </w:r>
                          </w:p>
                        </w:txbxContent>
                      </v:textbox>
                    </v:roundrect>
                    <v:group id="组合 49" o:spid="_x0000_s1026" o:spt="203" style="position:absolute;left:14595;top:36560;height:5131;width:7185;" coordorigin="14595,36560" coordsize="7185,5131"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roundrect id="圆角矩形 35" o:spid="_x0000_s1026" o:spt="2" style="position:absolute;left:14595;top:36561;height:813;width:2685;v-text-anchor:middle;" filled="f" stroked="t" coordsize="21600,21600" arcsize="0.166666666666667" o:gfxdata="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qAMDugAAANoA&#10;AAAPAAAAAAAAAAEAIAAAACIAAABkcnMvZG93bnJldi54bWxQSwECFAAUAAAACACHTuJAMy8FnjsA&#10;AAA5AAAAEAAAAAAAAAABACAAAAAJAQAAZHJzL3NoYXBleG1sLnhtbFBLBQYAAAAABgAGAFsBAACz&#10;AwAAAAA=&#10;">
                        <v:fill on="f" focussize="0,0"/>
                        <v:stroke weight="1pt" color="#1F4D78" miterlimit="8" joinstyle="miter"/>
                        <v:imagedata o:title=""/>
                        <o:lock v:ext="edit" aspectratio="f"/>
                        <v:textbox>
                          <w:txbxContent>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语言知识、跨文化交际知识、学习策略理论知识等</w:t>
                              </w:r>
                            </w:p>
                          </w:txbxContent>
                        </v:textbox>
                      </v:roundrect>
                      <v:roundrect id="圆角矩形 36" o:spid="_x0000_s1026" o:spt="2" style="position:absolute;left:19756;top:39008;height:574;width:1440;v-text-anchor:middle;" filled="f" stroked="t" coordsize="21600,21600" arcsize="0.166666666666667" o:gfxdata="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5KaYvQAA&#10;ANoAAAAPAAAAAAAAAAEAIAAAACIAAABkcnMvZG93bnJldi54bWxQSwECFAAUAAAACACHTuJAMy8F&#10;njsAAAA5AAAAEAAAAAAAAAABACAAAAAMAQAAZHJzL3NoYXBleG1sLnhtbFBLBQYAAAAABgAGAFsB&#10;AAC2AwAAAAA=&#10;">
                        <v:fill on="f" focussize="0,0"/>
                        <v:stroke weight="1pt" color="#1F4D78"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能力训练</w:t>
                              </w:r>
                            </w:p>
                          </w:txbxContent>
                        </v:textbox>
                      </v:roundrect>
                      <v:roundrect id="圆角矩形 37" o:spid="_x0000_s1026" o:spt="2" style="position:absolute;left:19049;top:36560;height:813;width:2731;v-text-anchor:middle;" filled="f" stroked="t" coordsize="21600,21600" arcsize="0.166666666666667" o:gfxdata="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Cj674A&#10;AADbAAAADwAAAAAAAAABACAAAAAiAAAAZHJzL2Rvd25yZXYueG1sUEsBAhQAFAAAAAgAh07iQDMv&#10;BZ47AAAAOQAAABAAAAAAAAAAAQAgAAAADQEAAGRycy9zaGFwZXhtbC54bWxQSwUGAAAAAAYABgBb&#10;AQAAtwMAAAAA&#10;">
                        <v:fill on="f" focussize="0,0"/>
                        <v:stroke weight="1pt" color="#1F4D78" miterlimit="8" joinstyle="miter"/>
                        <v:imagedata o:title=""/>
                        <o:lock v:ext="edit" aspectratio="f"/>
                        <v:textbox>
                          <w:txbxContent>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语言应用能力、跨文化交际</w:t>
                              </w:r>
                            </w:p>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能力、学习策略实施能力等</w:t>
                              </w:r>
                            </w:p>
                          </w:txbxContent>
                        </v:textbox>
                      </v:roundrect>
                      <v:roundrect id="圆角矩形 38" o:spid="_x0000_s1026" o:spt="2" style="position:absolute;left:17222;top:39834;height:527;width:1890;v-text-anchor:middle;" filled="f" stroked="t" coordsize="21600,21600" arcsize="0.166666666666667" o:gfxdata="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LwGcLsAAADb&#10;AAAADwAAAAAAAAABACAAAAAiAAAAZHJzL2Rvd25yZXYueG1sUEsBAhQAFAAAAAgAh07iQDMvBZ47&#10;AAAAOQAAABAAAAAAAAAAAQAgAAAACgEAAGRycy9zaGFwZXhtbC54bWxQSwUGAAAAAAYABgBbAQAA&#10;tAMAAAAA&#10;">
                        <v:fill on="f" focussize="0,0"/>
                        <v:stroke weight="1pt" color="#1F4D78"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思辨能力</w:t>
                              </w:r>
                            </w:p>
                          </w:txbxContent>
                        </v:textbox>
                      </v:roundrect>
                      <v:roundrect id="圆角矩形 39" o:spid="_x0000_s1026" o:spt="2" style="position:absolute;left:16527;top:40850;height:840;width:1641;v-text-anchor:middle;" filled="f" stroked="t" coordsize="21600,21600" arcsize="0.166666666666667" o:gfxdata="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6YB7sAAADb&#10;AAAADwAAAAAAAAABACAAAAAiAAAAZHJzL2Rvd25yZXYueG1sUEsBAhQAFAAAAAgAh07iQDMvBZ47&#10;AAAAOQAAABAAAAAAAAAAAQAgAAAACgEAAGRycy9zaGFwZXhtbC54bWxQSwUGAAAAAAYABgBbAQAA&#10;tAMAAAAA&#10;">
                        <v:fill on="f" focussize="0,0"/>
                        <v:stroke weight="1pt" color="#1F4D78"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概括、分析、评价等认知能力</w:t>
                              </w:r>
                            </w:p>
                            <w:p>
                              <w:pPr>
                                <w:rPr>
                                  <w:b/>
                                  <w:bCs/>
                                  <w:color w:val="C00000"/>
                                  <w:sz w:val="18"/>
                                  <w:szCs w:val="18"/>
                                </w:rPr>
                              </w:pPr>
                              <w:r>
                                <w:rPr>
                                  <w:rFonts w:hint="eastAsia"/>
                                  <w:b/>
                                  <w:bCs/>
                                  <w:color w:val="C00000"/>
                                  <w:sz w:val="18"/>
                                  <w:szCs w:val="18"/>
                                </w:rPr>
                                <w:t>认知能力</w:t>
                              </w:r>
                            </w:p>
                          </w:txbxContent>
                        </v:textbox>
                      </v:roundrect>
                      <v:shape id="下箭头 40" o:spid="_x0000_s1026" o:spt="67" type="#_x0000_t67" style="position:absolute;left:15478;top:37373;height:1588;width:930;v-text-anchor:middle;" filled="f" stroked="t" coordsize="21600,21600" o:gfxdata="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LRxQrgAAADbAAAA&#10;DwAAAAAAAAABACAAAAAiAAAAZHJzL2Rvd25yZXYueG1sUEsBAhQAFAAAAAgAh07iQDMvBZ47AAAA&#10;OQAAABAAAAAAAAAAAQAgAAAABwEAAGRycy9zaGFwZXhtbC54bWxQSwUGAAAAAAYABgBbAQAAsQMA&#10;AAAA&#10;" adj="15276,5400">
                        <v:fill on="f" focussize="0,0"/>
                        <v:stroke weight="1pt" color="#1F4D78" miterlimit="8" joinstyle="miter"/>
                        <v:imagedata o:title=""/>
                        <o:lock v:ext="edit" aspectratio="f"/>
                        <v:textbox>
                          <w:txbxContent>
                            <w:p>
                              <w:pPr>
                                <w:jc w:val="center"/>
                                <w:rPr>
                                  <w:color w:val="C00000"/>
                                  <w:sz w:val="18"/>
                                  <w:szCs w:val="18"/>
                                </w:rPr>
                              </w:pPr>
                              <w:r>
                                <w:rPr>
                                  <w:rFonts w:hint="eastAsia"/>
                                  <w:color w:val="000000" w:themeColor="text1"/>
                                  <w:sz w:val="18"/>
                                  <w:szCs w:val="18"/>
                                  <w14:textFill>
                                    <w14:solidFill>
                                      <w14:schemeClr w14:val="tx1"/>
                                    </w14:solidFill>
                                  </w14:textFill>
                                </w:rPr>
                                <w:t>在线学习</w:t>
                              </w:r>
                            </w:p>
                          </w:txbxContent>
                        </v:textbox>
                      </v:shape>
                      <v:shape id="下箭头 41" o:spid="_x0000_s1026" o:spt="67" type="#_x0000_t67" style="position:absolute;left:20085;top:37388;height:1618;width:915;v-text-anchor:middle;" filled="f" stroked="t" coordsize="21600,21600" o:gfxdata="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DOX4a/&#10;AAAA2wAAAA8AAAAAAAAAAQAgAAAAIgAAAGRycy9kb3ducmV2LnhtbFBLAQIUABQAAAAIAIdO4kAz&#10;LwWeOwAAADkAAAAQAAAAAAAAAAEAIAAAAA4BAABkcnMvc2hhcGV4bWwueG1sUEsFBgAAAAAGAAYA&#10;WwEAALgDAAAAAA==&#10;" adj="15492,5400">
                        <v:fill on="f" focussize="0,0"/>
                        <v:stroke weight="1pt" color="#1F4D78" miterlimit="8" joinstyle="miter"/>
                        <v:imagedata o:title=""/>
                        <o:lock v:ext="edit" aspectratio="f"/>
                        <v:textbox>
                          <w:txbxContent>
                            <w:p>
                              <w:pPr>
                                <w:jc w:val="center"/>
                                <w:rPr>
                                  <w:b/>
                                  <w:bCs/>
                                  <w:color w:val="000000" w:themeColor="text1"/>
                                  <w14:textFill>
                                    <w14:solidFill>
                                      <w14:schemeClr w14:val="tx1"/>
                                    </w14:solidFill>
                                  </w14:textFill>
                                </w:rPr>
                              </w:pPr>
                              <w:r>
                                <w:rPr>
                                  <w:rFonts w:hint="eastAsia"/>
                                  <w:color w:val="000000" w:themeColor="text1"/>
                                  <w:sz w:val="18"/>
                                  <w:szCs w:val="18"/>
                                  <w14:textFill>
                                    <w14:solidFill>
                                      <w14:schemeClr w14:val="tx1"/>
                                    </w14:solidFill>
                                  </w14:textFill>
                                </w:rPr>
                                <w:t>翻转课堂</w:t>
                              </w:r>
                            </w:p>
                          </w:txbxContent>
                        </v:textbox>
                      </v:shape>
                      <v:shape id="左右箭头 42" o:spid="_x0000_s1026" o:spt="69" type="#_x0000_t69" style="position:absolute;left:16171;top:37479;height:916;width:4150;v-text-anchor:middle;" filled="f" stroked="t" coordsize="21600,21600" o:gfxdata="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sLZrsAAADb&#10;AAAADwAAAAAAAAABACAAAAAiAAAAZHJzL2Rvd25yZXYueG1sUEsBAhQAFAAAAAgAh07iQDMvBZ47&#10;AAAAOQAAABAAAAAAAAAAAQAgAAAACgEAAGRycy9zaGFwZXhtbC54bWxQSwUGAAAAAAYABgBbAQAA&#10;tAMAAAAA&#10;" adj="2383,5400">
                        <v:fill on="f" focussize="0,0"/>
                        <v:stroke weight="1pt" color="#1F4D78" miterlimit="8" joinstyle="miter"/>
                        <v:imagedata o:title=""/>
                        <o:lock v:ext="edit" aspectratio="f"/>
                        <v:textbox>
                          <w:txbxContent>
                            <w:p>
                              <w:pPr>
                                <w:jc w:val="center"/>
                                <w:rPr>
                                  <w:color w:val="C00000"/>
                                  <w:sz w:val="18"/>
                                  <w:szCs w:val="18"/>
                                </w:rPr>
                              </w:pPr>
                              <w:r>
                                <w:rPr>
                                  <w:rFonts w:hint="eastAsia"/>
                                  <w:color w:val="000000" w:themeColor="text1"/>
                                  <w:sz w:val="18"/>
                                  <w:szCs w:val="18"/>
                                  <w14:textFill>
                                    <w14:solidFill>
                                      <w14:schemeClr w14:val="tx1"/>
                                    </w14:solidFill>
                                  </w14:textFill>
                                </w:rPr>
                                <w:t>相互辅助与结合</w:t>
                              </w:r>
                            </w:p>
                          </w:txbxContent>
                        </v:textbox>
                      </v:shape>
                      <v:shape id="左右箭头 43" o:spid="_x0000_s1026" o:spt="69" type="#_x0000_t69" style="position:absolute;left:16622;top:38844;height:813;width:3129;v-text-anchor:middle;" filled="f" stroked="t" coordsize="21600,21600" o:gfxdata="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sB0bgAAADbAAAA&#10;DwAAAAAAAAABACAAAAAiAAAAZHJzL2Rvd25yZXYueG1sUEsBAhQAFAAAAAgAh07iQDMvBZ47AAAA&#10;OQAAABAAAAAAAAAAAQAgAAAABwEAAGRycy9zaGFwZXhtbC54bWxQSwUGAAAAAAYABgBbAQAAsQMA&#10;AAAA&#10;" adj="2806,5400">
                        <v:fill on="f" focussize="0,0"/>
                        <v:stroke weight="1pt" color="#1F4D78"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相互促进与转化</w:t>
                              </w:r>
                            </w:p>
                          </w:txbxContent>
                        </v:textbox>
                      </v:shape>
                      <v:shape id="任意多边形 44" o:spid="_x0000_s1026" o:spt="100" style="position:absolute;left:16184;top:39205;height:1418;width:631;rotation:5898240f;v-text-anchor:middle;" filled="f" stroked="t" coordsize="10000,10000" o:gfxdata="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JVdfLtwAAANsAAAAP&#10;AAAAAAAAAAEAIAAAACIAAABkcnMvZG93bnJldi54bWxQSwECFAAUAAAACACHTuJAMy8FnjsAAAA5&#10;AAAAEAAAAAAAAAABACAAAAAGAQAAZHJzL3NoYXBleG1sLnhtbFBLBQYAAAAABgAGAFsBAACwAwAA&#10;AAA=&#10;" path="m0,8886l2504,7779,2504,8329,6244,8329,6244,1114,5008,1114,7496,0,10000,1114,8748,1114,8748,9443,2504,9443,2504,10000,0,8886xe">
                        <v:path textboxrect="0,0,10000,10000" o:connectlocs="0,178;9,156;9,167;24,167;24,22;19,22;29,0;39,22;34,22;34,189;9,189;9,201;0,178" o:connectangles="0,0,0,0,0,0,0,0,0,0,0,0,0"/>
                        <v:fill on="f" focussize="0,0"/>
                        <v:stroke weight="1pt" color="#1F4D78" miterlimit="8" joinstyle="miter"/>
                        <v:imagedata o:title=""/>
                        <o:lock v:ext="edit" aspectratio="f"/>
                        <v:textbox>
                          <w:txbxContent>
                            <w:p>
                              <w:pPr>
                                <w:jc w:val="center"/>
                                <w:rPr>
                                  <w:color w:val="C00000"/>
                                </w:rPr>
                              </w:pPr>
                            </w:p>
                          </w:txbxContent>
                        </v:textbox>
                      </v:shape>
                      <v:shape id="任意多边形 45" o:spid="_x0000_s1026" o:spt="100" style="position:absolute;left:19142;top:39601;height:646;width:1523;v-text-anchor:middle;" filled="f" stroked="t" coordsize="10000,10000" o:gfxdata="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9oa0G/&#10;AAAA2wAAAA8AAAAAAAAAAQAgAAAAIgAAAGRycy9kb3ducmV2LnhtbFBLAQIUABQAAAAIAIdO4kAz&#10;LwWeOwAAADkAAAAQAAAAAAAAAAEAIAAAAA4BAABkcnMvc2hhcGV4bWwueG1sUEsFBgAAAAAGAAYA&#10;WwEAALgDAAAAAA==&#10;" path="m0,7508l1064,5000,1064,6254,8411,6254,8411,2508,7879,2508,8943,0,10000,2508,9468,2508,9468,8746,1064,8746,1064,10000,0,7508xe">
                        <v:path textboxrect="0,0,10000,10000" o:connectlocs="0,31;24,20;24,26;195,26;195,10;182,10;207,0;231,10;219,10;219,36;24,36;24,41;0,31" o:connectangles="0,0,0,0,0,0,0,0,0,0,0,0,0"/>
                        <v:fill on="f" focussize="0,0"/>
                        <v:stroke weight="1pt" color="#1F4D78" miterlimit="8" joinstyle="miter"/>
                        <v:imagedata o:title=""/>
                        <o:lock v:ext="edit" aspectratio="f"/>
                        <v:textbox>
                          <w:txbxContent>
                            <w:p>
                              <w:pPr>
                                <w:rPr>
                                  <w:b/>
                                  <w:bCs/>
                                  <w:color w:val="C00000"/>
                                </w:rPr>
                              </w:pPr>
                            </w:p>
                          </w:txbxContent>
                        </v:textbox>
                      </v:shape>
                      <v:shape id="右箭头 46" o:spid="_x0000_s1026" o:spt="13" type="#_x0000_t13" style="position:absolute;left:17225;top:40411;height:350;width:463;rotation:5898240f;v-text-anchor:middle;" filled="f" stroked="t" coordsize="21600,21600" o:gfxdata="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58OkUugAAANsA&#10;AAAPAAAAAAAAAAEAIAAAACIAAABkcnMvZG93bnJldi54bWxQSwECFAAUAAAACACHTuJAMy8FnjsA&#10;AAA5AAAAEAAAAAAAAAABACAAAAAJAQAAZHJzL3NoYXBleG1sLnhtbFBLBQYAAAAABgAGAFsBAACz&#10;AwAAAAA=&#10;" adj="13437,5400">
                        <v:fill on="f" focussize="0,0"/>
                        <v:stroke weight="1pt" color="#1F4D78" miterlimit="8" joinstyle="miter"/>
                        <v:imagedata o:title=""/>
                        <o:lock v:ext="edit" aspectratio="f"/>
                      </v:shape>
                      <v:shape id="右箭头 47" o:spid="_x0000_s1026" o:spt="13" type="#_x0000_t13" style="position:absolute;left:18476;top:40430;height:336;width:479;rotation:5898240f;v-text-anchor:middle;" filled="f" stroked="t" coordsize="21600,21600" o:gfxdata="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BU7rsAAADb&#10;AAAADwAAAAAAAAABACAAAAAiAAAAZHJzL2Rvd25yZXYueG1sUEsBAhQAFAAAAAgAh07iQDMvBZ47&#10;AAAAOQAAABAAAAAAAAAAAQAgAAAACgEAAGRycy9zaGFwZXhtbC54bWxQSwUGAAAAAAYABgBbAQAA&#10;tAMAAAAA&#10;" adj="14025,5400">
                        <v:fill on="f" focussize="0,0"/>
                        <v:stroke weight="1pt" color="#1F4D78" miterlimit="8" joinstyle="miter"/>
                        <v:imagedata o:title=""/>
                        <o:lock v:ext="edit" aspectratio="f"/>
                      </v:shape>
                      <v:roundrect id="圆角矩形 48" o:spid="_x0000_s1026" o:spt="2" style="position:absolute;left:18242;top:40836;height:855;width:1609;v-text-anchor:middle;" filled="f" stroked="t" coordsize="21600,21600" arcsize="0.166666666666667" o:gfxdata="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MzNvQAA&#10;ANsAAAAPAAAAAAAAAAEAIAAAACIAAABkcnMvZG93bnJldi54bWxQSwECFAAUAAAACACHTuJAMy8F&#10;njsAAAA5AAAAEAAAAAAAAAABACAAAAAMAQAAZHJzL3NoYXBleG1sLnhtbFBLBQYAAAAABgAGAFsB&#10;AAC2AwAAAAA=&#10;">
                        <v:fill on="f" focussize="0,0"/>
                        <v:stroke weight="1pt" color="#1F4D78" miterlimit="8" joinstyle="miter"/>
                        <v:imagedata o:title=""/>
                        <o:lock v:ext="edit" aspectratio="f"/>
                        <v:textbox>
                          <w:txbxContent>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自信、正直、开放等情感因素</w:t>
                              </w:r>
                            </w:p>
                          </w:txbxContent>
                        </v:textbox>
                      </v:roundrect>
                    </v:group>
                  </v:group>
                </v:group>
                <v:shape id="右箭头 52" o:spid="_x0000_s1026" o:spt="13" type="#_x0000_t13" style="position:absolute;left:6704;top:94338;height:330;width:675;v-text-anchor:middle;" filled="f" stroked="t" coordsize="21600,21600" o:gfxdata="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B/Bpr4A&#10;AADbAAAADwAAAAAAAAABACAAAAAiAAAAZHJzL2Rvd25yZXYueG1sUEsBAhQAFAAAAAgAh07iQDMv&#10;BZ47AAAAOQAAABAAAAAAAAAAAQAgAAAADQEAAGRycy9zaGFwZXhtbC54bWxQSwUGAAAAAAYABgBb&#10;AQAAtwMAAAAA&#10;" adj="16320,5400">
                  <v:fill on="f" focussize="0,0"/>
                  <v:stroke weight="1pt" color="#1F4D78" miterlimit="8" joinstyle="miter"/>
                  <v:imagedata o:title=""/>
                  <o:lock v:ext="edit" aspectratio="f"/>
                </v:shape>
                <v:shape id="左箭头 53" o:spid="_x0000_s1026" o:spt="66" type="#_x0000_t66" style="position:absolute;left:10741;top:94398;height:285;width:582;v-text-anchor:middle;" filled="f" stroked="t" coordsize="21600,21600" o:gfxdata="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9XCLu/&#10;AAAA2wAAAA8AAAAAAAAAAQAgAAAAIgAAAGRycy9kb3ducmV2LnhtbFBLAQIUABQAAAAIAIdO4kAz&#10;LwWeOwAAADkAAAAQAAAAAAAAAAEAIAAAAA4BAABkcnMvc2hhcGV4bWwueG1sUEsFBgAAAAAGAAYA&#10;WwEAALgDAAAAAA==&#10;" adj="5288,5400">
                  <v:fill on="f" focussize="0,0"/>
                  <v:stroke weight="1pt" color="#1F4D78" miterlimit="8" joinstyle="miter"/>
                  <v:imagedata o:title=""/>
                  <o:lock v:ext="edit" aspectratio="f"/>
                </v:shape>
              </v:group>
            </w:pict>
          </mc:Fallback>
        </mc:AlternateContent>
      </w:r>
    </w:p>
    <w:p>
      <w:pPr>
        <w:tabs>
          <w:tab w:val="left" w:pos="2525"/>
          <w:tab w:val="center" w:pos="4153"/>
        </w:tabs>
        <w:spacing w:line="400" w:lineRule="exact"/>
        <w:jc w:val="left"/>
        <w:rPr>
          <w:rFonts w:ascii="宋体" w:cs="宋体"/>
          <w:szCs w:val="21"/>
        </w:rPr>
      </w:pPr>
    </w:p>
    <w:p>
      <w:pPr>
        <w:tabs>
          <w:tab w:val="left" w:pos="2525"/>
          <w:tab w:val="center" w:pos="4153"/>
        </w:tabs>
        <w:spacing w:line="400" w:lineRule="exact"/>
        <w:jc w:val="left"/>
        <w:rPr>
          <w:rFonts w:ascii="宋体" w:cs="宋体"/>
          <w:szCs w:val="21"/>
        </w:rPr>
      </w:pPr>
    </w:p>
    <w:p>
      <w:pPr>
        <w:tabs>
          <w:tab w:val="left" w:pos="2525"/>
          <w:tab w:val="center" w:pos="4153"/>
        </w:tabs>
        <w:spacing w:line="400" w:lineRule="exact"/>
        <w:jc w:val="left"/>
        <w:rPr>
          <w:rFonts w:ascii="宋体" w:cs="宋体"/>
          <w:szCs w:val="21"/>
        </w:rPr>
      </w:pPr>
    </w:p>
    <w:p>
      <w:pPr>
        <w:tabs>
          <w:tab w:val="left" w:pos="2525"/>
          <w:tab w:val="center" w:pos="4153"/>
        </w:tabs>
        <w:spacing w:line="400" w:lineRule="exact"/>
        <w:jc w:val="left"/>
        <w:rPr>
          <w:rFonts w:ascii="宋体" w:cs="宋体"/>
          <w:szCs w:val="21"/>
        </w:rPr>
      </w:pPr>
    </w:p>
    <w:p>
      <w:pPr>
        <w:tabs>
          <w:tab w:val="left" w:pos="2525"/>
          <w:tab w:val="center" w:pos="4153"/>
        </w:tabs>
        <w:spacing w:line="400" w:lineRule="exact"/>
        <w:jc w:val="left"/>
        <w:rPr>
          <w:rFonts w:ascii="宋体" w:cs="宋体"/>
          <w:szCs w:val="21"/>
        </w:rPr>
      </w:pPr>
    </w:p>
    <w:p>
      <w:pPr>
        <w:tabs>
          <w:tab w:val="left" w:pos="2525"/>
          <w:tab w:val="center" w:pos="4153"/>
        </w:tabs>
        <w:spacing w:line="400" w:lineRule="exact"/>
        <w:jc w:val="left"/>
        <w:rPr>
          <w:rFonts w:ascii="宋体" w:cs="宋体"/>
          <w:szCs w:val="21"/>
        </w:rPr>
      </w:pPr>
    </w:p>
    <w:p>
      <w:pPr>
        <w:tabs>
          <w:tab w:val="left" w:pos="2525"/>
          <w:tab w:val="center" w:pos="4153"/>
        </w:tabs>
        <w:spacing w:line="400" w:lineRule="exact"/>
        <w:jc w:val="left"/>
        <w:rPr>
          <w:rFonts w:ascii="宋体" w:cs="宋体"/>
          <w:szCs w:val="21"/>
        </w:rPr>
      </w:pPr>
    </w:p>
    <w:p>
      <w:pPr>
        <w:tabs>
          <w:tab w:val="left" w:pos="2525"/>
          <w:tab w:val="center" w:pos="4153"/>
        </w:tabs>
        <w:spacing w:line="400" w:lineRule="exact"/>
        <w:jc w:val="left"/>
        <w:rPr>
          <w:rFonts w:ascii="宋体" w:cs="宋体"/>
          <w:szCs w:val="21"/>
        </w:rPr>
      </w:pPr>
    </w:p>
    <w:p>
      <w:pPr>
        <w:tabs>
          <w:tab w:val="left" w:pos="2525"/>
          <w:tab w:val="center" w:pos="4153"/>
        </w:tabs>
        <w:spacing w:line="400" w:lineRule="exact"/>
        <w:jc w:val="left"/>
        <w:rPr>
          <w:rFonts w:ascii="宋体" w:cs="宋体"/>
          <w:szCs w:val="21"/>
        </w:rPr>
      </w:pPr>
    </w:p>
    <w:p>
      <w:pPr>
        <w:tabs>
          <w:tab w:val="left" w:pos="2525"/>
          <w:tab w:val="center" w:pos="4153"/>
        </w:tabs>
        <w:spacing w:line="400" w:lineRule="exact"/>
        <w:jc w:val="left"/>
        <w:rPr>
          <w:rFonts w:ascii="宋体" w:cs="宋体"/>
          <w:szCs w:val="21"/>
        </w:rPr>
      </w:pPr>
    </w:p>
    <w:p>
      <w:pPr>
        <w:tabs>
          <w:tab w:val="left" w:pos="2525"/>
          <w:tab w:val="center" w:pos="4153"/>
        </w:tabs>
        <w:spacing w:line="400" w:lineRule="exact"/>
        <w:jc w:val="left"/>
        <w:rPr>
          <w:rFonts w:ascii="宋体" w:cs="宋体"/>
          <w:szCs w:val="21"/>
        </w:rPr>
      </w:pPr>
    </w:p>
    <w:p>
      <w:pPr>
        <w:tabs>
          <w:tab w:val="left" w:pos="2525"/>
          <w:tab w:val="center" w:pos="4153"/>
        </w:tabs>
        <w:spacing w:line="400" w:lineRule="exact"/>
        <w:jc w:val="left"/>
        <w:rPr>
          <w:rFonts w:ascii="宋体" w:cs="宋体"/>
          <w:szCs w:val="21"/>
        </w:rPr>
      </w:pPr>
    </w:p>
    <w:p>
      <w:pPr>
        <w:spacing w:line="400" w:lineRule="exact"/>
        <w:ind w:firstLine="482" w:firstLineChars="200"/>
        <w:rPr>
          <w:rFonts w:ascii="宋体" w:hAnsi="宋体" w:cs="宋体"/>
          <w:b/>
          <w:sz w:val="24"/>
        </w:rPr>
      </w:pPr>
    </w:p>
    <w:p>
      <w:pPr>
        <w:spacing w:line="400" w:lineRule="exact"/>
        <w:ind w:firstLine="482" w:firstLineChars="200"/>
        <w:rPr>
          <w:rFonts w:ascii="宋体" w:cs="宋体"/>
          <w:b/>
          <w:sz w:val="24"/>
        </w:rPr>
      </w:pPr>
      <w:r>
        <w:rPr>
          <w:rFonts w:hint="eastAsia" w:ascii="宋体" w:hAnsi="宋体" w:cs="宋体"/>
          <w:b/>
          <w:sz w:val="24"/>
        </w:rPr>
        <w:t>结语</w:t>
      </w:r>
    </w:p>
    <w:p>
      <w:pPr>
        <w:spacing w:line="400" w:lineRule="exact"/>
        <w:ind w:firstLine="420" w:firstLineChars="200"/>
        <w:rPr>
          <w:rFonts w:ascii="宋体" w:cs="宋体"/>
          <w:szCs w:val="21"/>
        </w:rPr>
      </w:pPr>
      <w:r>
        <w:rPr>
          <w:rFonts w:hint="eastAsia" w:ascii="宋体" w:hAnsi="宋体" w:cs="宋体"/>
          <w:szCs w:val="21"/>
        </w:rPr>
        <w:t>当今时代，经济合作和文化交流在世界范围内以惊人的速度快速发展。教育界也需顺应时代发展和变化趋势，培养出社会不可或缺的高级人才。高校外语教育应围绕如何培养学生的思辨能力来展开，在授课方式和方法上进行大胆改革，利用多模态外语教学理念，充分挖掘学生的思维能力，为高校外语教学的可持续发展注入源源不断的新动力。</w:t>
      </w:r>
    </w:p>
    <w:p>
      <w:pPr>
        <w:tabs>
          <w:tab w:val="left" w:pos="2525"/>
          <w:tab w:val="center" w:pos="4153"/>
        </w:tabs>
        <w:spacing w:line="400" w:lineRule="exact"/>
        <w:jc w:val="left"/>
        <w:rPr>
          <w:rFonts w:ascii="宋体" w:hAnsi="宋体" w:cs="宋体"/>
          <w:b/>
          <w:bCs/>
          <w:szCs w:val="21"/>
        </w:rPr>
      </w:pPr>
    </w:p>
    <w:p>
      <w:pPr>
        <w:tabs>
          <w:tab w:val="left" w:pos="2525"/>
          <w:tab w:val="center" w:pos="4153"/>
        </w:tabs>
        <w:spacing w:line="400" w:lineRule="exact"/>
        <w:jc w:val="left"/>
        <w:rPr>
          <w:rFonts w:ascii="宋体" w:cs="宋体"/>
          <w:b/>
          <w:bCs/>
          <w:szCs w:val="21"/>
        </w:rPr>
      </w:pPr>
      <w:r>
        <w:rPr>
          <w:rFonts w:hint="eastAsia" w:ascii="宋体" w:hAnsi="宋体" w:cs="宋体"/>
          <w:b/>
          <w:bCs/>
          <w:szCs w:val="21"/>
        </w:rPr>
        <w:t>参考文献</w:t>
      </w:r>
    </w:p>
    <w:p>
      <w:pPr>
        <w:spacing w:line="400" w:lineRule="exact"/>
        <w:rPr>
          <w:rFonts w:hint="eastAsia" w:ascii="宋体" w:eastAsia="宋体"/>
          <w:szCs w:val="21"/>
          <w:lang w:val="en-US" w:eastAsia="zh-CN"/>
        </w:rPr>
      </w:pPr>
      <w:r>
        <w:rPr>
          <w:rFonts w:ascii="宋体" w:hAnsi="宋体"/>
          <w:szCs w:val="21"/>
        </w:rPr>
        <w:t>[1]</w:t>
      </w:r>
      <w:r>
        <w:rPr>
          <w:rFonts w:hint="eastAsia" w:ascii="宋体" w:hAnsi="宋体"/>
          <w:szCs w:val="21"/>
        </w:rPr>
        <w:t>文秋芳．外语专业大学生思辨倾向变化的跟踪研究</w:t>
      </w:r>
      <w:r>
        <w:rPr>
          <w:rFonts w:ascii="宋体" w:hAnsi="宋体"/>
          <w:szCs w:val="21"/>
        </w:rPr>
        <w:t>[J]</w:t>
      </w:r>
      <w:r>
        <w:rPr>
          <w:rFonts w:hint="eastAsia" w:ascii="宋体" w:hAnsi="宋体"/>
          <w:szCs w:val="21"/>
        </w:rPr>
        <w:t>．外语电化教学，</w:t>
      </w:r>
      <w:r>
        <w:rPr>
          <w:rFonts w:ascii="宋体" w:hAnsi="宋体"/>
          <w:szCs w:val="21"/>
        </w:rPr>
        <w:t>2016</w:t>
      </w:r>
      <w:r>
        <w:rPr>
          <w:rFonts w:hint="eastAsia" w:ascii="宋体" w:hAnsi="宋体"/>
          <w:szCs w:val="21"/>
          <w:lang w:eastAsia="zh-CN"/>
        </w:rPr>
        <w:t>，</w:t>
      </w: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:3-8</w:t>
      </w:r>
      <w:r>
        <w:rPr>
          <w:rFonts w:hint="eastAsia" w:ascii="宋体" w:hAnsi="宋体"/>
          <w:szCs w:val="21"/>
          <w:lang w:val="en-US" w:eastAsia="zh-CN"/>
        </w:rPr>
        <w:t>.</w:t>
      </w:r>
    </w:p>
    <w:p>
      <w:pPr>
        <w:spacing w:line="400" w:lineRule="exact"/>
        <w:rPr>
          <w:rFonts w:hint="eastAsia" w:ascii="宋体" w:eastAsia="宋体"/>
          <w:szCs w:val="21"/>
          <w:lang w:val="en-US" w:eastAsia="zh-CN"/>
        </w:rPr>
      </w:pPr>
      <w:r>
        <w:rPr>
          <w:rFonts w:ascii="宋体" w:hAnsi="宋体"/>
          <w:szCs w:val="21"/>
        </w:rPr>
        <w:t>[2]</w:t>
      </w:r>
      <w:r>
        <w:rPr>
          <w:rFonts w:hint="eastAsia" w:ascii="宋体" w:hAnsi="宋体"/>
          <w:szCs w:val="21"/>
        </w:rPr>
        <w:t>韦晓保．影响外语类大学生思辨能力发展的外部因素分析</w:t>
      </w:r>
      <w:r>
        <w:rPr>
          <w:rFonts w:ascii="宋体" w:hAnsi="宋体"/>
          <w:szCs w:val="21"/>
        </w:rPr>
        <w:t>[J]</w:t>
      </w:r>
      <w:r>
        <w:rPr>
          <w:rFonts w:hint="eastAsia" w:ascii="宋体" w:hAnsi="宋体"/>
          <w:szCs w:val="21"/>
        </w:rPr>
        <w:t>．</w:t>
      </w:r>
      <w:r>
        <w:rPr>
          <w:rFonts w:ascii="宋体" w:hAnsi="宋体"/>
          <w:szCs w:val="21"/>
        </w:rPr>
        <w:t xml:space="preserve"> </w:t>
      </w:r>
      <w:r>
        <w:rPr>
          <w:rFonts w:hint="eastAsia" w:ascii="宋体" w:hAnsi="宋体"/>
          <w:szCs w:val="21"/>
        </w:rPr>
        <w:t>西安外国语大学学报，</w:t>
      </w:r>
      <w:r>
        <w:rPr>
          <w:rFonts w:ascii="宋体" w:hAnsi="宋体"/>
          <w:szCs w:val="21"/>
        </w:rPr>
        <w:t>2012</w:t>
      </w:r>
      <w:r>
        <w:rPr>
          <w:rFonts w:hint="eastAsia" w:ascii="宋体" w:hAnsi="宋体"/>
          <w:szCs w:val="21"/>
          <w:lang w:eastAsia="zh-CN"/>
        </w:rPr>
        <w:t>，</w:t>
      </w: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:72-75</w:t>
      </w:r>
      <w:r>
        <w:rPr>
          <w:rFonts w:hint="eastAsia" w:ascii="宋体" w:hAnsi="宋体"/>
          <w:szCs w:val="21"/>
          <w:lang w:val="en-US" w:eastAsia="zh-CN"/>
        </w:rPr>
        <w:t>.</w:t>
      </w:r>
    </w:p>
    <w:p>
      <w:pPr>
        <w:spacing w:line="400" w:lineRule="exact"/>
        <w:rPr>
          <w:rFonts w:hint="eastAsia" w:ascii="宋体" w:eastAsia="宋体"/>
          <w:szCs w:val="21"/>
          <w:lang w:val="en-US" w:eastAsia="zh-CN"/>
        </w:rPr>
      </w:pPr>
      <w:r>
        <w:rPr>
          <w:rFonts w:ascii="宋体" w:hAnsi="宋体"/>
          <w:szCs w:val="21"/>
        </w:rPr>
        <w:t>[3]</w:t>
      </w:r>
      <w:r>
        <w:rPr>
          <w:rFonts w:hint="eastAsia" w:ascii="宋体" w:hAnsi="宋体"/>
          <w:szCs w:val="21"/>
        </w:rPr>
        <w:t>刘世琴．小组讨论式教学法在中级日语教学中的应用</w:t>
      </w:r>
      <w:r>
        <w:rPr>
          <w:rFonts w:ascii="宋体" w:hAnsi="宋体"/>
          <w:szCs w:val="21"/>
        </w:rPr>
        <w:t>[J]</w:t>
      </w:r>
      <w:r>
        <w:rPr>
          <w:rFonts w:hint="eastAsia" w:ascii="宋体" w:hAnsi="宋体"/>
          <w:szCs w:val="21"/>
        </w:rPr>
        <w:t>．日语学习与研究，</w:t>
      </w:r>
      <w:r>
        <w:rPr>
          <w:rFonts w:ascii="宋体" w:hAnsi="宋体"/>
          <w:szCs w:val="21"/>
        </w:rPr>
        <w:t>2014</w:t>
      </w:r>
      <w:r>
        <w:rPr>
          <w:rFonts w:hint="eastAsia" w:ascii="宋体" w:hAnsi="宋体"/>
          <w:szCs w:val="21"/>
          <w:lang w:eastAsia="zh-CN"/>
        </w:rPr>
        <w:t>，</w:t>
      </w:r>
      <w:r>
        <w:rPr>
          <w:rFonts w:hint="eastAsia" w:ascii="宋体" w:hAnsi="宋体"/>
          <w:szCs w:val="21"/>
        </w:rPr>
        <w:t>（</w:t>
      </w:r>
      <w:r>
        <w:rPr>
          <w:rFonts w:ascii="宋体" w:hAnsi="宋体"/>
          <w:szCs w:val="21"/>
        </w:rPr>
        <w:t>6</w:t>
      </w:r>
      <w:r>
        <w:rPr>
          <w:rFonts w:hint="eastAsia" w:ascii="宋体" w:hAnsi="宋体"/>
          <w:szCs w:val="21"/>
        </w:rPr>
        <w:t>）</w:t>
      </w:r>
      <w:r>
        <w:rPr>
          <w:rFonts w:ascii="宋体" w:hAnsi="宋体"/>
          <w:szCs w:val="21"/>
        </w:rPr>
        <w:t>:72-77</w:t>
      </w:r>
      <w:r>
        <w:rPr>
          <w:rFonts w:hint="eastAsia" w:ascii="宋体" w:hAnsi="宋体"/>
          <w:szCs w:val="21"/>
          <w:lang w:val="en-US" w:eastAsia="zh-CN"/>
        </w:rPr>
        <w:t>.</w:t>
      </w:r>
    </w:p>
    <w:p>
      <w:pPr>
        <w:spacing w:line="400" w:lineRule="exact"/>
        <w:rPr>
          <w:rFonts w:hint="eastAsia" w:ascii="宋体" w:eastAsia="宋体"/>
          <w:szCs w:val="21"/>
          <w:lang w:val="en-US" w:eastAsia="zh-CN"/>
        </w:rPr>
      </w:pPr>
      <w:r>
        <w:rPr>
          <w:rFonts w:ascii="宋体" w:hAnsi="宋体"/>
          <w:szCs w:val="21"/>
        </w:rPr>
        <w:t>[4]</w:t>
      </w:r>
      <w:r>
        <w:rPr>
          <w:rFonts w:hint="eastAsia" w:ascii="宋体" w:hAnsi="宋体"/>
          <w:szCs w:val="21"/>
        </w:rPr>
        <w:t>罗清旭．批判性思维的结构、培养模式及存在的问题</w:t>
      </w:r>
      <w:r>
        <w:rPr>
          <w:rFonts w:ascii="宋体" w:hAnsi="宋体"/>
          <w:szCs w:val="21"/>
        </w:rPr>
        <w:t>[J]</w:t>
      </w:r>
      <w:r>
        <w:rPr>
          <w:rFonts w:hint="eastAsia" w:ascii="宋体" w:hAnsi="宋体"/>
          <w:szCs w:val="21"/>
        </w:rPr>
        <w:t>．广西民族学院学报，</w:t>
      </w:r>
      <w:r>
        <w:rPr>
          <w:rFonts w:ascii="宋体" w:hAnsi="宋体"/>
          <w:szCs w:val="21"/>
        </w:rPr>
        <w:t>2010</w:t>
      </w:r>
      <w:r>
        <w:rPr>
          <w:rFonts w:hint="eastAsia" w:ascii="宋体" w:hAnsi="宋体"/>
          <w:szCs w:val="21"/>
          <w:lang w:eastAsia="zh-CN"/>
        </w:rPr>
        <w:t>，</w:t>
      </w: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:215-218</w:t>
      </w:r>
      <w:r>
        <w:rPr>
          <w:rFonts w:hint="eastAsia" w:ascii="宋体" w:hAnsi="宋体"/>
          <w:szCs w:val="21"/>
          <w:lang w:val="en-US" w:eastAsia="zh-CN"/>
        </w:rPr>
        <w:t>.</w:t>
      </w:r>
    </w:p>
    <w:p>
      <w:pPr>
        <w:spacing w:line="400" w:lineRule="exact"/>
        <w:rPr>
          <w:rFonts w:hint="eastAsia" w:ascii="宋体" w:eastAsia="宋体"/>
          <w:szCs w:val="21"/>
          <w:lang w:val="en-US" w:eastAsia="zh-CN"/>
        </w:rPr>
      </w:pPr>
      <w:r>
        <w:rPr>
          <w:rFonts w:ascii="宋体" w:hAnsi="宋体"/>
          <w:szCs w:val="21"/>
        </w:rPr>
        <w:t>[5]</w:t>
      </w:r>
      <w:r>
        <w:rPr>
          <w:rFonts w:hint="eastAsia" w:ascii="宋体" w:hAnsi="宋体"/>
          <w:szCs w:val="21"/>
        </w:rPr>
        <w:t>张子宏．论思辨能力的特征及其与语言知识间的关系</w:t>
      </w:r>
      <w:r>
        <w:rPr>
          <w:rFonts w:ascii="宋体" w:hAnsi="宋体"/>
          <w:szCs w:val="21"/>
        </w:rPr>
        <w:t>[J]</w:t>
      </w:r>
      <w:r>
        <w:rPr>
          <w:rFonts w:hint="eastAsia" w:ascii="宋体" w:hAnsi="宋体"/>
          <w:szCs w:val="21"/>
        </w:rPr>
        <w:t>．中国青年政治学院学报，</w:t>
      </w:r>
      <w:r>
        <w:rPr>
          <w:rFonts w:ascii="宋体" w:hAnsi="宋体"/>
          <w:szCs w:val="21"/>
        </w:rPr>
        <w:t>201</w:t>
      </w:r>
      <w:r>
        <w:rPr>
          <w:rFonts w:ascii="宋体"/>
          <w:szCs w:val="21"/>
        </w:rPr>
        <w:t>0</w:t>
      </w:r>
      <w:r>
        <w:rPr>
          <w:rFonts w:hint="eastAsia" w:ascii="宋体"/>
          <w:szCs w:val="21"/>
          <w:lang w:eastAsia="zh-CN"/>
        </w:rPr>
        <w:t>，</w:t>
      </w:r>
      <w:r>
        <w:rPr>
          <w:rFonts w:hint="eastAsia" w:ascii="宋体" w:hAnsi="宋体"/>
          <w:szCs w:val="21"/>
        </w:rPr>
        <w:t>（</w:t>
      </w:r>
      <w:r>
        <w:rPr>
          <w:rFonts w:ascii="宋体" w:hAnsi="宋体"/>
          <w:szCs w:val="21"/>
        </w:rPr>
        <w:t>6</w:t>
      </w:r>
      <w:r>
        <w:rPr>
          <w:rFonts w:hint="eastAsia" w:ascii="宋体" w:hAnsi="宋体"/>
          <w:szCs w:val="21"/>
        </w:rPr>
        <w:t>）</w:t>
      </w:r>
      <w:r>
        <w:rPr>
          <w:rFonts w:ascii="宋体" w:hAnsi="宋体"/>
          <w:szCs w:val="21"/>
        </w:rPr>
        <w:t>:123-127</w:t>
      </w:r>
      <w:r>
        <w:rPr>
          <w:rFonts w:hint="eastAsia" w:ascii="宋体" w:hAnsi="宋体"/>
          <w:szCs w:val="21"/>
          <w:lang w:val="en-US" w:eastAsia="zh-CN"/>
        </w:rPr>
        <w:t>.</w:t>
      </w:r>
    </w:p>
    <w:p>
      <w:pPr>
        <w:spacing w:line="400" w:lineRule="exact"/>
        <w:rPr>
          <w:rFonts w:hint="eastAsia" w:ascii="宋体" w:eastAsia="宋体"/>
          <w:szCs w:val="21"/>
          <w:lang w:val="en-US" w:eastAsia="zh-CN"/>
        </w:rPr>
      </w:pPr>
      <w:r>
        <w:rPr>
          <w:rFonts w:ascii="宋体" w:hAnsi="宋体"/>
          <w:szCs w:val="21"/>
        </w:rPr>
        <w:t>[6]</w:t>
      </w:r>
      <w:r>
        <w:rPr>
          <w:rFonts w:hint="eastAsia" w:ascii="宋体" w:hAnsi="宋体"/>
          <w:szCs w:val="21"/>
        </w:rPr>
        <w:t>胡伟．研讨式教学法在日语精读课中的实践与研究</w:t>
      </w:r>
      <w:r>
        <w:rPr>
          <w:rFonts w:ascii="宋体" w:hAnsi="宋体"/>
          <w:szCs w:val="21"/>
        </w:rPr>
        <w:t>[J]</w:t>
      </w:r>
      <w:r>
        <w:rPr>
          <w:rFonts w:hint="eastAsia" w:ascii="宋体" w:hAnsi="宋体"/>
          <w:szCs w:val="21"/>
        </w:rPr>
        <w:t>．日语学习与研究，</w:t>
      </w:r>
      <w:r>
        <w:rPr>
          <w:rFonts w:ascii="宋体" w:hAnsi="宋体"/>
          <w:szCs w:val="21"/>
        </w:rPr>
        <w:t>2015</w:t>
      </w:r>
      <w:r>
        <w:rPr>
          <w:rFonts w:hint="eastAsia" w:ascii="宋体" w:hAnsi="宋体"/>
          <w:szCs w:val="21"/>
          <w:lang w:eastAsia="zh-CN"/>
        </w:rPr>
        <w:t>，</w:t>
      </w: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:90-98</w:t>
      </w:r>
      <w:r>
        <w:rPr>
          <w:rFonts w:hint="eastAsia" w:ascii="宋体" w:hAnsi="宋体"/>
          <w:szCs w:val="21"/>
          <w:lang w:val="en-US" w:eastAsia="zh-CN"/>
        </w:rPr>
        <w:t>.</w:t>
      </w:r>
    </w:p>
    <w:p>
      <w:pPr>
        <w:spacing w:line="400" w:lineRule="exact"/>
        <w:rPr>
          <w:rFonts w:hint="eastAsia" w:ascii="宋体" w:eastAsia="宋体"/>
          <w:szCs w:val="21"/>
          <w:lang w:val="en-US" w:eastAsia="zh-CN"/>
        </w:rPr>
      </w:pPr>
      <w:r>
        <w:rPr>
          <w:rFonts w:ascii="宋体" w:hAnsi="宋体"/>
          <w:szCs w:val="21"/>
        </w:rPr>
        <w:t>[7]</w:t>
      </w:r>
      <w:r>
        <w:rPr>
          <w:rFonts w:hint="eastAsia" w:ascii="宋体" w:hAnsi="宋体"/>
          <w:szCs w:val="21"/>
        </w:rPr>
        <w:t>陈坚林，贾振霞．大数据时代的信息化外语学习方式探索研究</w:t>
      </w:r>
      <w:r>
        <w:rPr>
          <w:rFonts w:ascii="宋体" w:hAnsi="宋体"/>
          <w:szCs w:val="21"/>
        </w:rPr>
        <w:t>[J]</w:t>
      </w:r>
      <w:r>
        <w:rPr>
          <w:rFonts w:hint="eastAsia" w:ascii="宋体" w:hAnsi="宋体"/>
          <w:szCs w:val="21"/>
        </w:rPr>
        <w:t>．电化外语教学，</w:t>
      </w:r>
      <w:r>
        <w:rPr>
          <w:rFonts w:ascii="宋体" w:hAnsi="宋体"/>
          <w:szCs w:val="21"/>
        </w:rPr>
        <w:t>2017</w:t>
      </w:r>
      <w:r>
        <w:rPr>
          <w:rFonts w:hint="eastAsia" w:ascii="宋体" w:hAnsi="宋体"/>
          <w:szCs w:val="21"/>
          <w:lang w:eastAsia="zh-CN"/>
        </w:rPr>
        <w:t>，</w:t>
      </w:r>
      <w:r>
        <w:rPr>
          <w:rFonts w:hint="eastAsia" w:ascii="宋体" w:hAnsi="宋体"/>
          <w:szCs w:val="21"/>
        </w:rPr>
        <w:t>（</w:t>
      </w:r>
      <w:r>
        <w:rPr>
          <w:rFonts w:ascii="宋体" w:hAnsi="宋体"/>
          <w:szCs w:val="21"/>
        </w:rPr>
        <w:t>4</w:t>
      </w:r>
      <w:r>
        <w:rPr>
          <w:rFonts w:hint="eastAsia" w:ascii="宋体" w:hAnsi="宋体"/>
          <w:szCs w:val="21"/>
        </w:rPr>
        <w:t>）</w:t>
      </w:r>
      <w:r>
        <w:rPr>
          <w:rFonts w:ascii="宋体" w:hAnsi="宋体"/>
          <w:szCs w:val="21"/>
        </w:rPr>
        <w:t>:3-16</w:t>
      </w:r>
      <w:r>
        <w:rPr>
          <w:rFonts w:hint="eastAsia" w:ascii="宋体" w:hAnsi="宋体"/>
          <w:szCs w:val="21"/>
          <w:lang w:val="en-US" w:eastAsia="zh-CN"/>
        </w:rPr>
        <w:t>.</w:t>
      </w:r>
    </w:p>
    <w:p>
      <w:pPr>
        <w:tabs>
          <w:tab w:val="left" w:pos="2525"/>
          <w:tab w:val="center" w:pos="4153"/>
        </w:tabs>
        <w:spacing w:line="400" w:lineRule="exact"/>
        <w:jc w:val="left"/>
        <w:rPr>
          <w:rFonts w:hint="eastAsia" w:ascii="宋体" w:eastAsia="宋体" w:cs="宋体"/>
          <w:szCs w:val="21"/>
          <w:lang w:val="en-US" w:eastAsia="zh-CN"/>
        </w:rPr>
      </w:pPr>
      <w:r>
        <w:rPr>
          <w:rFonts w:ascii="宋体" w:hAnsi="宋体"/>
          <w:szCs w:val="21"/>
        </w:rPr>
        <w:t>[8]</w:t>
      </w:r>
      <w:r>
        <w:rPr>
          <w:rFonts w:hint="eastAsia" w:ascii="宋体" w:hAnsi="宋体" w:cs="宋体"/>
          <w:szCs w:val="21"/>
        </w:rPr>
        <w:t>顾曰国</w:t>
      </w:r>
      <w:r>
        <w:rPr>
          <w:rFonts w:hint="eastAsia" w:ascii="宋体" w:hAnsi="宋体"/>
          <w:szCs w:val="21"/>
        </w:rPr>
        <w:t>．</w:t>
      </w:r>
      <w:r>
        <w:rPr>
          <w:rFonts w:hint="eastAsia" w:ascii="宋体" w:hAnsi="宋体" w:cs="宋体"/>
          <w:szCs w:val="21"/>
        </w:rPr>
        <w:t>多媒体多模态学习剖析</w:t>
      </w:r>
      <w:r>
        <w:rPr>
          <w:rFonts w:ascii="宋体" w:hAnsi="宋体"/>
          <w:szCs w:val="21"/>
        </w:rPr>
        <w:t>[J]</w:t>
      </w:r>
      <w:r>
        <w:rPr>
          <w:rFonts w:hint="eastAsia" w:ascii="宋体" w:hAnsi="宋体"/>
          <w:szCs w:val="21"/>
        </w:rPr>
        <w:t>．</w:t>
      </w:r>
      <w:r>
        <w:rPr>
          <w:rFonts w:hint="eastAsia" w:ascii="宋体" w:hAnsi="宋体" w:cs="宋体"/>
          <w:szCs w:val="21"/>
        </w:rPr>
        <w:t>外语电化教学，</w:t>
      </w:r>
      <w:r>
        <w:rPr>
          <w:rFonts w:ascii="宋体" w:hAnsi="宋体" w:cs="宋体"/>
          <w:szCs w:val="21"/>
        </w:rPr>
        <w:t xml:space="preserve"> 2007</w:t>
      </w:r>
      <w:r>
        <w:rPr>
          <w:rFonts w:hint="eastAsia" w:ascii="宋体" w:hAnsi="宋体" w:cs="宋体"/>
          <w:szCs w:val="21"/>
          <w:lang w:eastAsia="zh-CN"/>
        </w:rPr>
        <w:t>，</w:t>
      </w:r>
      <w:r>
        <w:rPr>
          <w:rFonts w:hint="eastAsia" w:ascii="宋体" w:hAnsi="宋体" w:cs="宋体"/>
          <w:szCs w:val="21"/>
        </w:rPr>
        <w:t>（</w:t>
      </w:r>
      <w:r>
        <w:rPr>
          <w:rFonts w:ascii="宋体" w:hAnsi="宋体" w:cs="宋体"/>
          <w:szCs w:val="21"/>
        </w:rPr>
        <w:t>4</w:t>
      </w:r>
      <w:r>
        <w:rPr>
          <w:rFonts w:hint="eastAsia" w:ascii="宋体" w:hAnsi="宋体" w:cs="宋体"/>
          <w:szCs w:val="21"/>
        </w:rPr>
        <w:t>）</w:t>
      </w:r>
      <w:r>
        <w:rPr>
          <w:rFonts w:ascii="宋体" w:hAnsi="宋体" w:cs="宋体"/>
          <w:szCs w:val="21"/>
        </w:rPr>
        <w:t>:14-21</w:t>
      </w:r>
      <w:r>
        <w:rPr>
          <w:rFonts w:hint="eastAsia" w:ascii="宋体" w:hAnsi="宋体" w:cs="宋体"/>
          <w:szCs w:val="21"/>
          <w:lang w:val="en-US" w:eastAsia="zh-CN"/>
        </w:rPr>
        <w:t>.</w:t>
      </w:r>
    </w:p>
    <w:p>
      <w:pPr>
        <w:spacing w:line="400" w:lineRule="exact"/>
        <w:rPr>
          <w:rFonts w:hint="eastAsia" w:ascii="宋体" w:eastAsia="宋体"/>
          <w:szCs w:val="21"/>
          <w:lang w:val="en-US" w:eastAsia="zh-CN"/>
        </w:rPr>
      </w:pPr>
      <w:r>
        <w:rPr>
          <w:rFonts w:ascii="宋体" w:hAnsi="宋体"/>
          <w:szCs w:val="21"/>
        </w:rPr>
        <w:t>[9]</w:t>
      </w:r>
      <w:r>
        <w:rPr>
          <w:rFonts w:hint="eastAsia" w:ascii="宋体" w:hAnsi="宋体"/>
          <w:szCs w:val="21"/>
        </w:rPr>
        <w:t>林崇德．思维心理学研究的几点回顾</w:t>
      </w:r>
      <w:r>
        <w:rPr>
          <w:rFonts w:ascii="宋体" w:hAnsi="宋体"/>
          <w:szCs w:val="21"/>
        </w:rPr>
        <w:t>[J]</w:t>
      </w:r>
      <w:r>
        <w:rPr>
          <w:rFonts w:hint="eastAsia" w:ascii="宋体" w:hAnsi="宋体"/>
          <w:szCs w:val="21"/>
        </w:rPr>
        <w:t>．北京师范大学学报（社会科学版），</w:t>
      </w:r>
      <w:r>
        <w:rPr>
          <w:rFonts w:ascii="宋体" w:hAnsi="宋体"/>
          <w:szCs w:val="21"/>
        </w:rPr>
        <w:t>2006</w:t>
      </w:r>
      <w:r>
        <w:rPr>
          <w:rFonts w:hint="eastAsia" w:ascii="宋体" w:hAnsi="宋体"/>
          <w:szCs w:val="21"/>
          <w:lang w:eastAsia="zh-CN"/>
        </w:rPr>
        <w:t>，</w:t>
      </w:r>
      <w:r>
        <w:rPr>
          <w:rFonts w:hint="eastAsia" w:ascii="宋体" w:hAnsi="宋体"/>
          <w:szCs w:val="21"/>
        </w:rPr>
        <w:t>（</w:t>
      </w:r>
      <w:r>
        <w:rPr>
          <w:rFonts w:ascii="宋体" w:hAnsi="宋体"/>
          <w:szCs w:val="21"/>
        </w:rPr>
        <w:t>5</w:t>
      </w:r>
      <w:r>
        <w:rPr>
          <w:rFonts w:hint="eastAsia" w:ascii="宋体" w:hAnsi="宋体"/>
          <w:szCs w:val="21"/>
        </w:rPr>
        <w:t>）</w:t>
      </w:r>
      <w:r>
        <w:rPr>
          <w:rFonts w:ascii="宋体" w:hAnsi="宋体"/>
          <w:szCs w:val="21"/>
        </w:rPr>
        <w:t>:35-42</w:t>
      </w:r>
      <w:r>
        <w:rPr>
          <w:rFonts w:hint="eastAsia" w:ascii="宋体" w:hAnsi="宋体"/>
          <w:szCs w:val="21"/>
          <w:lang w:val="en-US" w:eastAsia="zh-CN"/>
        </w:rPr>
        <w:t>.</w:t>
      </w:r>
    </w:p>
    <w:p>
      <w:pPr>
        <w:tabs>
          <w:tab w:val="left" w:pos="2525"/>
          <w:tab w:val="center" w:pos="4153"/>
        </w:tabs>
        <w:spacing w:line="400" w:lineRule="exact"/>
        <w:jc w:val="left"/>
        <w:rPr>
          <w:rFonts w:hint="eastAsia" w:ascii="宋体" w:eastAsia="宋体" w:cs="宋体"/>
          <w:szCs w:val="21"/>
          <w:lang w:val="en-US" w:eastAsia="zh-CN"/>
        </w:rPr>
      </w:pPr>
      <w:r>
        <w:rPr>
          <w:rFonts w:ascii="宋体" w:hAnsi="宋体"/>
          <w:szCs w:val="21"/>
        </w:rPr>
        <w:t>[10]</w:t>
      </w:r>
      <w:r>
        <w:rPr>
          <w:rFonts w:hint="eastAsia" w:ascii="宋体" w:hAnsi="宋体" w:cs="宋体"/>
          <w:szCs w:val="21"/>
        </w:rPr>
        <w:t>张雁玲，郑新民</w:t>
      </w:r>
      <w:r>
        <w:rPr>
          <w:rFonts w:hint="eastAsia" w:ascii="宋体" w:hAnsi="宋体"/>
          <w:szCs w:val="21"/>
        </w:rPr>
        <w:t>．</w:t>
      </w:r>
      <w:r>
        <w:rPr>
          <w:rFonts w:hint="eastAsia" w:ascii="宋体" w:hAnsi="宋体" w:cs="宋体"/>
          <w:szCs w:val="21"/>
        </w:rPr>
        <w:t>课程与信息技术整合环境下外语教师信念探究</w:t>
      </w:r>
      <w:r>
        <w:rPr>
          <w:rFonts w:ascii="宋体" w:hAnsi="宋体"/>
          <w:szCs w:val="21"/>
        </w:rPr>
        <w:t>[J]</w:t>
      </w:r>
      <w:r>
        <w:rPr>
          <w:rFonts w:hint="eastAsia" w:ascii="宋体" w:hAnsi="宋体"/>
          <w:szCs w:val="21"/>
        </w:rPr>
        <w:t>．</w:t>
      </w:r>
      <w:r>
        <w:rPr>
          <w:rFonts w:hint="eastAsia" w:ascii="宋体" w:hAnsi="宋体" w:cs="宋体"/>
          <w:szCs w:val="21"/>
        </w:rPr>
        <w:t>外语教学，</w:t>
      </w:r>
      <w:r>
        <w:rPr>
          <w:rFonts w:ascii="宋体" w:hAnsi="宋体" w:cs="宋体"/>
          <w:szCs w:val="21"/>
        </w:rPr>
        <w:t>2011</w:t>
      </w:r>
      <w:r>
        <w:rPr>
          <w:rFonts w:hint="eastAsia" w:ascii="宋体" w:hAnsi="宋体" w:cs="宋体"/>
          <w:szCs w:val="21"/>
          <w:lang w:eastAsia="zh-CN"/>
        </w:rPr>
        <w:t>，</w:t>
      </w:r>
      <w:r>
        <w:rPr>
          <w:rFonts w:hint="eastAsia" w:ascii="宋体" w:hAnsi="宋体" w:cs="宋体"/>
          <w:szCs w:val="21"/>
        </w:rPr>
        <w:t>（</w:t>
      </w:r>
      <w:r>
        <w:rPr>
          <w:rFonts w:ascii="宋体" w:hAnsi="宋体" w:cs="宋体"/>
          <w:szCs w:val="21"/>
        </w:rPr>
        <w:t>4</w:t>
      </w:r>
      <w:r>
        <w:rPr>
          <w:rFonts w:hint="eastAsia" w:ascii="宋体" w:hAnsi="宋体" w:cs="宋体"/>
          <w:szCs w:val="21"/>
        </w:rPr>
        <w:t>）</w:t>
      </w:r>
      <w:r>
        <w:rPr>
          <w:rFonts w:ascii="宋体" w:hAnsi="宋体" w:cs="宋体"/>
          <w:szCs w:val="21"/>
        </w:rPr>
        <w:t>:44-52</w:t>
      </w:r>
      <w:r>
        <w:rPr>
          <w:rFonts w:hint="eastAsia" w:ascii="宋体" w:hAnsi="宋体" w:cs="宋体"/>
          <w:szCs w:val="21"/>
          <w:lang w:val="en-US" w:eastAsia="zh-CN"/>
        </w:rPr>
        <w:t>.</w:t>
      </w:r>
    </w:p>
    <w:p>
      <w:pPr>
        <w:spacing w:line="400" w:lineRule="exact"/>
        <w:rPr>
          <w:rFonts w:hint="eastAsia" w:ascii="宋体" w:eastAsia="宋体"/>
          <w:szCs w:val="21"/>
          <w:lang w:val="en-US" w:eastAsia="zh-CN"/>
        </w:rPr>
      </w:pPr>
      <w:r>
        <w:rPr>
          <w:rFonts w:ascii="宋体" w:hAnsi="宋体"/>
          <w:szCs w:val="21"/>
        </w:rPr>
        <w:t>[11]</w:t>
      </w:r>
      <w:r>
        <w:rPr>
          <w:rFonts w:hint="eastAsia" w:ascii="宋体" w:hAnsi="宋体"/>
          <w:szCs w:val="21"/>
        </w:rPr>
        <w:t>孙有中．突出思辨能力培养，将英语专业教学改革引向深入</w:t>
      </w:r>
      <w:r>
        <w:rPr>
          <w:rFonts w:ascii="宋体" w:hAnsi="宋体"/>
          <w:szCs w:val="21"/>
        </w:rPr>
        <w:t>[J]</w:t>
      </w:r>
      <w:r>
        <w:rPr>
          <w:rFonts w:hint="eastAsia" w:ascii="宋体" w:hAnsi="宋体"/>
          <w:szCs w:val="21"/>
        </w:rPr>
        <w:t>．中国外语，</w:t>
      </w:r>
      <w:r>
        <w:rPr>
          <w:rFonts w:ascii="宋体" w:hAnsi="宋体"/>
          <w:szCs w:val="21"/>
        </w:rPr>
        <w:t>2011</w:t>
      </w:r>
      <w:r>
        <w:rPr>
          <w:rFonts w:hint="eastAsia" w:ascii="宋体" w:hAnsi="宋体"/>
          <w:szCs w:val="21"/>
          <w:lang w:eastAsia="zh-CN"/>
        </w:rPr>
        <w:t>，</w:t>
      </w: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:49-58</w:t>
      </w:r>
      <w:r>
        <w:rPr>
          <w:rFonts w:hint="eastAsia" w:ascii="宋体" w:hAnsi="宋体"/>
          <w:szCs w:val="21"/>
          <w:lang w:val="en-US" w:eastAsia="zh-CN"/>
        </w:rPr>
        <w:t>.</w:t>
      </w: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jc w:val="center"/>
        <w:rPr>
          <w:rStyle w:val="6"/>
          <w:rFonts w:ascii="Times New Roman" w:hAnsi="Times New Roman"/>
        </w:rPr>
      </w:pPr>
      <w:r>
        <w:rPr>
          <w:rStyle w:val="6"/>
          <w:rFonts w:hint="eastAsia" w:ascii="Times New Roman" w:hAnsi="Times New Roman"/>
        </w:rPr>
        <w:t xml:space="preserve">The </w:t>
      </w:r>
      <w:r>
        <w:rPr>
          <w:rStyle w:val="6"/>
          <w:rFonts w:ascii="Times New Roman" w:hAnsi="Times New Roman"/>
        </w:rPr>
        <w:t>Cultivation of Critical Thinking Ability and Multimodal Foreign Language</w:t>
      </w:r>
      <w:r>
        <w:rPr>
          <w:rStyle w:val="6"/>
          <w:rFonts w:hint="eastAsia" w:ascii="Times New Roman" w:hAnsi="Times New Roman"/>
        </w:rPr>
        <w:t xml:space="preserve"> Teaching Design</w:t>
      </w:r>
    </w:p>
    <w:p>
      <w:pPr>
        <w:tabs>
          <w:tab w:val="left" w:pos="1052"/>
        </w:tabs>
        <w:spacing w:line="400" w:lineRule="exact"/>
        <w:ind w:firstLine="3150" w:firstLineChars="1500"/>
        <w:jc w:val="left"/>
        <w:rPr>
          <w:rFonts w:ascii="Times New Roman" w:hAnsi="Times New Roman"/>
          <w:szCs w:val="21"/>
        </w:rPr>
      </w:pPr>
      <w:r>
        <w:rPr>
          <w:rFonts w:ascii="Times New Roman" w:hAnsi="Times New Roman"/>
          <w:szCs w:val="21"/>
        </w:rPr>
        <w:t>CHEN Zhiwu</w:t>
      </w:r>
    </w:p>
    <w:p>
      <w:pPr>
        <w:spacing w:line="400" w:lineRule="exact"/>
        <w:jc w:val="center"/>
        <w:rPr>
          <w:rFonts w:ascii="Times New Roman" w:hAnsi="Times New Roman"/>
          <w:szCs w:val="21"/>
        </w:rPr>
      </w:pPr>
      <w:r>
        <w:rPr>
          <w:rFonts w:ascii="Times New Roman" w:hAnsi="Times New Roman"/>
          <w:szCs w:val="21"/>
        </w:rPr>
        <w:t>(City Institute, Dalian University of Technology, Dalian, Liaoning 116600, China)</w:t>
      </w:r>
    </w:p>
    <w:p>
      <w:pPr>
        <w:spacing w:line="400" w:lineRule="exact"/>
        <w:rPr>
          <w:rFonts w:ascii="Times New Roman" w:hAnsi="Times New Roman"/>
          <w:b/>
          <w:szCs w:val="21"/>
        </w:rPr>
      </w:pPr>
      <w:r>
        <w:rPr>
          <w:rFonts w:ascii="Times New Roman" w:hAnsi="Times New Roman"/>
          <w:b/>
          <w:szCs w:val="21"/>
        </w:rPr>
        <w:t>Abstract:</w:t>
      </w:r>
      <w:r>
        <w:rPr>
          <w:rFonts w:hint="eastAsia" w:ascii="Times New Roman" w:hAnsi="Times New Roman"/>
          <w:b/>
          <w:szCs w:val="21"/>
        </w:rPr>
        <w:t xml:space="preserve"> </w:t>
      </w:r>
      <w:r>
        <w:rPr>
          <w:rStyle w:val="6"/>
          <w:rFonts w:ascii="Times New Roman" w:hAnsi="Times New Roman"/>
        </w:rPr>
        <w:t xml:space="preserve">It </w:t>
      </w:r>
      <w:r>
        <w:rPr>
          <w:rStyle w:val="6"/>
          <w:rFonts w:hint="eastAsia" w:ascii="Times New Roman" w:hAnsi="Times New Roman"/>
        </w:rPr>
        <w:t>has been a prevailing</w:t>
      </w:r>
      <w:r>
        <w:rPr>
          <w:rStyle w:val="6"/>
          <w:rFonts w:ascii="Times New Roman" w:hAnsi="Times New Roman"/>
        </w:rPr>
        <w:t xml:space="preserve"> trend to </w:t>
      </w:r>
      <w:r>
        <w:rPr>
          <w:rStyle w:val="6"/>
          <w:rFonts w:hint="eastAsia" w:ascii="Times New Roman" w:hAnsi="Times New Roman"/>
        </w:rPr>
        <w:t>cultivate</w:t>
      </w:r>
      <w:r>
        <w:rPr>
          <w:rStyle w:val="6"/>
          <w:rFonts w:ascii="Times New Roman" w:hAnsi="Times New Roman"/>
        </w:rPr>
        <w:t xml:space="preserve"> </w:t>
      </w:r>
      <w:r>
        <w:rPr>
          <w:rStyle w:val="6"/>
          <w:rFonts w:hint="eastAsia" w:ascii="Times New Roman" w:hAnsi="Times New Roman"/>
        </w:rPr>
        <w:t>talent</w:t>
      </w:r>
      <w:r>
        <w:rPr>
          <w:rStyle w:val="6"/>
          <w:rFonts w:ascii="Times New Roman" w:hAnsi="Times New Roman"/>
        </w:rPr>
        <w:t>s with critical thinking ability</w:t>
      </w:r>
      <w:r>
        <w:rPr>
          <w:rStyle w:val="6"/>
          <w:rFonts w:hint="eastAsia" w:ascii="Times New Roman" w:hAnsi="Times New Roman"/>
        </w:rPr>
        <w:t xml:space="preserve"> in</w:t>
      </w:r>
      <w:r>
        <w:rPr>
          <w:rStyle w:val="6"/>
          <w:rFonts w:ascii="Times New Roman" w:hAnsi="Times New Roman"/>
        </w:rPr>
        <w:t xml:space="preserve"> foreign language </w:t>
      </w:r>
      <w:r>
        <w:rPr>
          <w:rStyle w:val="6"/>
          <w:rFonts w:hint="eastAsia" w:ascii="Times New Roman" w:hAnsi="Times New Roman"/>
        </w:rPr>
        <w:t>teaching</w:t>
      </w:r>
      <w:r>
        <w:rPr>
          <w:rStyle w:val="6"/>
          <w:rFonts w:ascii="Times New Roman" w:hAnsi="Times New Roman"/>
        </w:rPr>
        <w:t>.</w:t>
      </w:r>
      <w:r>
        <w:rPr>
          <w:rFonts w:ascii="Times New Roman" w:hAnsi="Times New Roman"/>
        </w:rPr>
        <w:t xml:space="preserve"> By analyzing the development of human thinking and the principle </w:t>
      </w:r>
      <w:r>
        <w:rPr>
          <w:rFonts w:hint="eastAsia" w:ascii="Times New Roman" w:hAnsi="Times New Roman"/>
        </w:rPr>
        <w:t>for</w:t>
      </w:r>
      <w:r>
        <w:rPr>
          <w:rFonts w:ascii="Times New Roman" w:hAnsi="Times New Roman"/>
        </w:rPr>
        <w:t xml:space="preserve"> choosing teaching mod</w:t>
      </w:r>
      <w:r>
        <w:rPr>
          <w:rFonts w:hint="eastAsia" w:ascii="Times New Roman" w:hAnsi="Times New Roman"/>
        </w:rPr>
        <w:t>als</w:t>
      </w:r>
      <w:r>
        <w:rPr>
          <w:rFonts w:ascii="Times New Roman" w:hAnsi="Times New Roman"/>
        </w:rPr>
        <w:t>, this paper sum</w:t>
      </w:r>
      <w:r>
        <w:rPr>
          <w:rFonts w:hint="eastAsia" w:ascii="Times New Roman" w:hAnsi="Times New Roman"/>
        </w:rPr>
        <w:t>marizes</w:t>
      </w:r>
      <w:r>
        <w:rPr>
          <w:rFonts w:ascii="Times New Roman" w:hAnsi="Times New Roman"/>
        </w:rPr>
        <w:t xml:space="preserve"> the process of multimodal foreign language teaching</w:t>
      </w:r>
      <w:r>
        <w:rPr>
          <w:rFonts w:hint="eastAsia" w:ascii="Times New Roman" w:hAnsi="Times New Roman"/>
        </w:rPr>
        <w:t xml:space="preserve"> design</w:t>
      </w:r>
      <w:r>
        <w:rPr>
          <w:rFonts w:ascii="Times New Roman" w:hAnsi="Times New Roman"/>
        </w:rPr>
        <w:t>, so as to cultivate and improve students' critical thinking ability.</w:t>
      </w:r>
    </w:p>
    <w:p>
      <w:pPr>
        <w:spacing w:line="400" w:lineRule="exact"/>
        <w:rPr>
          <w:rFonts w:ascii="Times New Roman" w:hAnsi="Times New Roman"/>
        </w:rPr>
      </w:pPr>
      <w:r>
        <w:rPr>
          <w:rFonts w:ascii="Times New Roman" w:hAnsi="Times New Roman"/>
          <w:b/>
          <w:szCs w:val="21"/>
        </w:rPr>
        <w:t>Key words:</w:t>
      </w:r>
      <w:r>
        <w:rPr>
          <w:rFonts w:hint="eastAsia" w:ascii="Times New Roman" w:hAnsi="Times New Roman"/>
          <w:b/>
          <w:szCs w:val="21"/>
        </w:rPr>
        <w:t xml:space="preserve"> </w:t>
      </w:r>
      <w:r>
        <w:rPr>
          <w:rStyle w:val="6"/>
          <w:rFonts w:ascii="Times New Roman" w:hAnsi="Times New Roman"/>
        </w:rPr>
        <w:t>critical thinking ability; te</w:t>
      </w:r>
      <w:r>
        <w:rPr>
          <w:rFonts w:ascii="Times New Roman" w:hAnsi="Times New Roman"/>
        </w:rPr>
        <w:t>aching mod</w:t>
      </w:r>
      <w:r>
        <w:rPr>
          <w:rFonts w:hint="eastAsia" w:ascii="Times New Roman" w:hAnsi="Times New Roman"/>
        </w:rPr>
        <w:t>al</w:t>
      </w:r>
      <w:r>
        <w:rPr>
          <w:rFonts w:ascii="Times New Roman" w:hAnsi="Times New Roman"/>
        </w:rPr>
        <w:t>;</w:t>
      </w:r>
      <w:r>
        <w:rPr>
          <w:rFonts w:hint="eastAsia" w:ascii="Times New Roman" w:hAnsi="Times New Roman"/>
        </w:rPr>
        <w:t xml:space="preserve"> </w:t>
      </w:r>
      <w:r>
        <w:rPr>
          <w:rFonts w:ascii="Times New Roman" w:hAnsi="Times New Roman"/>
        </w:rPr>
        <w:t>foreign language teaching</w:t>
      </w:r>
    </w:p>
    <w:p>
      <w:pPr>
        <w:spacing w:line="400" w:lineRule="exact"/>
        <w:rPr>
          <w:rFonts w:ascii="宋体"/>
          <w:sz w:val="18"/>
          <w:szCs w:val="18"/>
        </w:rPr>
      </w:pPr>
    </w:p>
    <w:p>
      <w:pPr>
        <w:spacing w:line="400" w:lineRule="exact"/>
      </w:pPr>
      <w:r>
        <w:rPr>
          <w:rFonts w:hint="eastAsia"/>
        </w:rPr>
        <w:t xml:space="preserve">                                                 </w:t>
      </w:r>
      <w:r>
        <w:rPr>
          <w:rFonts w:hint="eastAsia"/>
          <w:color w:val="000000" w:themeColor="text1"/>
          <w14:textFill>
            <w14:solidFill>
              <w14:schemeClr w14:val="tx1"/>
            </w14:solidFill>
          </w14:textFill>
        </w:rPr>
        <w:t>【责任编辑】 李予军</w:t>
      </w:r>
    </w:p>
    <w:p>
      <w:r>
        <w:rPr>
          <w:rFonts w:hint="eastAsia"/>
        </w:rPr>
        <w:t xml:space="preserve"> </w:t>
      </w:r>
    </w:p>
    <w:sectPr>
      <w:headerReference r:id="rId3" w:type="default"/>
      <w:headerReference r:id="rId4" w:type="even"/>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roman"/>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D143D"/>
    <w:multiLevelType w:val="singleLevel"/>
    <w:tmpl w:val="2EAD143D"/>
    <w:lvl w:ilvl="0" w:tentative="0">
      <w:start w:val="1"/>
      <w:numFmt w:val="decimal"/>
      <w:suff w:val="space"/>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F1B"/>
    <w:rsid w:val="00036488"/>
    <w:rsid w:val="001C7267"/>
    <w:rsid w:val="001D0920"/>
    <w:rsid w:val="002560C6"/>
    <w:rsid w:val="002823EE"/>
    <w:rsid w:val="00406758"/>
    <w:rsid w:val="00433D8D"/>
    <w:rsid w:val="004D5737"/>
    <w:rsid w:val="005A7F94"/>
    <w:rsid w:val="005B50CD"/>
    <w:rsid w:val="007B2C98"/>
    <w:rsid w:val="00835F1B"/>
    <w:rsid w:val="00880D7C"/>
    <w:rsid w:val="008F6380"/>
    <w:rsid w:val="0093193F"/>
    <w:rsid w:val="009F54C1"/>
    <w:rsid w:val="00B55C03"/>
    <w:rsid w:val="00B86ED5"/>
    <w:rsid w:val="00D1777D"/>
    <w:rsid w:val="00D479D5"/>
    <w:rsid w:val="0F0C7348"/>
    <w:rsid w:val="3D4404DD"/>
    <w:rsid w:val="54DA2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header"/>
    <w:basedOn w:val="1"/>
    <w:link w:val="5"/>
    <w:uiPriority w:val="0"/>
    <w:pPr>
      <w:pBdr>
        <w:bottom w:val="single" w:color="auto" w:sz="6" w:space="1"/>
      </w:pBdr>
      <w:tabs>
        <w:tab w:val="center" w:pos="4153"/>
        <w:tab w:val="right" w:pos="8306"/>
      </w:tabs>
      <w:snapToGrid w:val="0"/>
      <w:jc w:val="center"/>
    </w:pPr>
    <w:rPr>
      <w:rFonts w:cstheme="minorBidi"/>
      <w:sz w:val="18"/>
      <w:szCs w:val="18"/>
    </w:rPr>
  </w:style>
  <w:style w:type="character" w:customStyle="1" w:styleId="5">
    <w:name w:val="页眉 Char"/>
    <w:link w:val="2"/>
    <w:locked/>
    <w:uiPriority w:val="0"/>
    <w:rPr>
      <w:rFonts w:ascii="Calibri" w:hAnsi="Calibri" w:eastAsia="宋体"/>
      <w:sz w:val="18"/>
      <w:szCs w:val="18"/>
    </w:rPr>
  </w:style>
  <w:style w:type="character" w:customStyle="1" w:styleId="6">
    <w:name w:val="high-light-bg4"/>
    <w:qFormat/>
    <w:uiPriority w:val="0"/>
    <w:rPr>
      <w:rFonts w:cs="Times New Roman"/>
    </w:rPr>
  </w:style>
  <w:style w:type="character" w:customStyle="1" w:styleId="7">
    <w:name w:val="页眉 Char1"/>
    <w:basedOn w:val="3"/>
    <w:semiHidden/>
    <w:uiPriority w:val="99"/>
    <w:rPr>
      <w:rFonts w:ascii="Calibri" w:hAnsi="Calibri" w:eastAsia="宋体" w:cs="Times New Roman"/>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numbering" Target="numbering.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1085</Words>
  <Characters>6186</Characters>
  <Lines>51</Lines>
  <Paragraphs>14</Paragraphs>
  <TotalTime>61</TotalTime>
  <ScaleCrop>false</ScaleCrop>
  <LinksUpToDate>false</LinksUpToDate>
  <CharactersWithSpaces>7257</CharactersWithSpaces>
  <Application>WPS Office_11.1.0.8213_F1E327BC-269C-435d-A152-05C5408002CA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2018-11-04T15:21:00Z</dcterms:created>
  <dc:creator>Henry</dc:creator>
  <lastModifiedBy>HC</lastModifiedBy>
  <dcterms:modified xsi:type="dcterms:W3CDTF">2019-01-14T06:26:00Z</dcterms:modified>
  <revision>14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2052-11.1.0.8213</vt:lpwstr>
  </property>
</Properties>
</file>