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201" w:rsidRDefault="006A68D5">
      <w:pPr>
        <w:jc w:val="center"/>
        <w:rPr>
          <w:rFonts w:ascii="黑体" w:eastAsia="黑体" w:hAnsi="黑体" w:cs="黑体"/>
          <w:b/>
          <w:bCs/>
          <w:sz w:val="32"/>
          <w:szCs w:val="32"/>
        </w:rPr>
      </w:pPr>
      <w:r>
        <w:rPr>
          <w:rFonts w:ascii="黑体" w:eastAsia="黑体" w:hAnsi="黑体" w:cs="黑体" w:hint="eastAsia"/>
          <w:b/>
          <w:bCs/>
          <w:sz w:val="32"/>
          <w:szCs w:val="32"/>
        </w:rPr>
        <w:t>关于社区居家</w:t>
      </w:r>
      <w:proofErr w:type="gramStart"/>
      <w:r>
        <w:rPr>
          <w:rFonts w:ascii="黑体" w:eastAsia="黑体" w:hAnsi="黑体" w:cs="黑体" w:hint="eastAsia"/>
          <w:b/>
          <w:bCs/>
          <w:sz w:val="32"/>
          <w:szCs w:val="32"/>
        </w:rPr>
        <w:t>医</w:t>
      </w:r>
      <w:proofErr w:type="gramEnd"/>
      <w:r>
        <w:rPr>
          <w:rFonts w:ascii="黑体" w:eastAsia="黑体" w:hAnsi="黑体" w:cs="黑体" w:hint="eastAsia"/>
          <w:b/>
          <w:bCs/>
          <w:sz w:val="32"/>
          <w:szCs w:val="32"/>
        </w:rPr>
        <w:t>养结合养老模式的思考</w:t>
      </w:r>
      <w:r>
        <w:rPr>
          <w:rStyle w:val="a8"/>
          <w:rFonts w:ascii="黑体" w:eastAsia="黑体" w:hAnsi="黑体" w:cs="黑体" w:hint="eastAsia"/>
          <w:b/>
          <w:bCs/>
          <w:sz w:val="32"/>
          <w:szCs w:val="32"/>
        </w:rPr>
        <w:footnoteReference w:id="1"/>
      </w:r>
    </w:p>
    <w:p w:rsidR="00694201" w:rsidRDefault="006A68D5">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闫薇，刘伟超</w:t>
      </w:r>
    </w:p>
    <w:p w:rsidR="00EF2C21" w:rsidRDefault="006A68D5">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（河北大学管理学院，保定，071002；</w:t>
      </w:r>
    </w:p>
    <w:p w:rsidR="00694201" w:rsidRDefault="006A68D5">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北京城市学院，北京，100083）</w:t>
      </w:r>
    </w:p>
    <w:p w:rsidR="00694201" w:rsidRDefault="00694201">
      <w:pPr>
        <w:jc w:val="center"/>
        <w:rPr>
          <w:rFonts w:asciiTheme="majorEastAsia" w:eastAsiaTheme="majorEastAsia" w:hAnsiTheme="majorEastAsia" w:cstheme="majorEastAsia"/>
        </w:rPr>
      </w:pPr>
    </w:p>
    <w:p w:rsidR="00694201" w:rsidRDefault="006A68D5">
      <w:pPr>
        <w:spacing w:line="360" w:lineRule="auto"/>
        <w:ind w:firstLineChars="200" w:firstLine="422"/>
        <w:rPr>
          <w:rFonts w:ascii="黑体" w:eastAsia="黑体" w:hAnsi="黑体" w:cs="黑体"/>
          <w:sz w:val="24"/>
        </w:rPr>
      </w:pPr>
      <w:bookmarkStart w:id="0" w:name="OLE_LINK2"/>
      <w:bookmarkStart w:id="1" w:name="OLE_LINK1"/>
      <w:r>
        <w:rPr>
          <w:rFonts w:ascii="宋体" w:eastAsia="宋体" w:hAnsi="宋体" w:cs="宋体" w:hint="eastAsia"/>
          <w:b/>
          <w:bCs/>
          <w:szCs w:val="21"/>
        </w:rPr>
        <w:t>摘要：</w:t>
      </w:r>
      <w:r>
        <w:rPr>
          <w:rFonts w:ascii="宋体" w:eastAsia="宋体" w:hAnsi="宋体" w:cs="宋体" w:hint="eastAsia"/>
          <w:szCs w:val="21"/>
        </w:rPr>
        <w:t>在健康老龄化提出背景下，如何改善老年人的生活品质、生命质感，使老年人享受更有品质的养老服务问题被推到舆论的风口浪尖。在此形势下，“医养结合”模式逐渐进入公众视野，成为近年来养老的“新配方”。在“医养结合”模式构建的过程中，有很大一部分老年人选择了社区居家养老。本文通过对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明确概念并分析此可行性，同时构建其在顶层设计、信息化进程中出现的的问题提出了构建和完善的具体思路，以图整合养老资源和医疗资源更好的服务于需要社区居家养老的这部分人群，助力他们更有尊严的养老，安享晚年。</w:t>
      </w:r>
    </w:p>
    <w:p w:rsidR="00694201" w:rsidRDefault="006A68D5">
      <w:pPr>
        <w:spacing w:line="360" w:lineRule="auto"/>
        <w:ind w:firstLineChars="200" w:firstLine="422"/>
        <w:rPr>
          <w:rFonts w:ascii="宋体" w:eastAsia="宋体" w:hAnsi="宋体" w:cs="宋体"/>
          <w:szCs w:val="21"/>
        </w:rPr>
      </w:pPr>
      <w:r>
        <w:rPr>
          <w:rFonts w:asciiTheme="minorEastAsia" w:hAnsiTheme="minorEastAsia" w:cstheme="minorEastAsia" w:hint="eastAsia"/>
          <w:b/>
          <w:bCs/>
          <w:szCs w:val="21"/>
        </w:rPr>
        <w:t>关键词：</w:t>
      </w:r>
      <w:r>
        <w:rPr>
          <w:rFonts w:ascii="宋体" w:eastAsia="宋体" w:hAnsi="宋体" w:cs="宋体" w:hint="eastAsia"/>
          <w:szCs w:val="21"/>
        </w:rPr>
        <w:t>社区居家养老；</w:t>
      </w:r>
      <w:proofErr w:type="gramStart"/>
      <w:r>
        <w:rPr>
          <w:rFonts w:ascii="宋体" w:eastAsia="宋体" w:hAnsi="宋体" w:cs="宋体" w:hint="eastAsia"/>
          <w:szCs w:val="21"/>
        </w:rPr>
        <w:t>医</w:t>
      </w:r>
      <w:proofErr w:type="gramEnd"/>
      <w:r>
        <w:rPr>
          <w:rFonts w:ascii="宋体" w:eastAsia="宋体" w:hAnsi="宋体" w:cs="宋体" w:hint="eastAsia"/>
          <w:szCs w:val="21"/>
        </w:rPr>
        <w:t>养结合；健康老龄化</w:t>
      </w:r>
    </w:p>
    <w:p w:rsidR="00EF2C21" w:rsidRDefault="00EF2C21">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中图分类号:</w:t>
      </w:r>
      <w:r>
        <w:rPr>
          <w:rFonts w:ascii="宋体" w:eastAsia="宋体" w:hAnsi="宋体" w:cs="宋体"/>
          <w:szCs w:val="21"/>
        </w:rPr>
        <w:t xml:space="preserve"> TU246.2              </w:t>
      </w:r>
      <w:r>
        <w:rPr>
          <w:rFonts w:ascii="宋体" w:eastAsia="宋体" w:hAnsi="宋体" w:cs="宋体" w:hint="eastAsia"/>
          <w:szCs w:val="21"/>
        </w:rPr>
        <w:t>文献标识码:</w:t>
      </w:r>
      <w:r>
        <w:rPr>
          <w:rFonts w:ascii="宋体" w:eastAsia="宋体" w:hAnsi="宋体" w:cs="宋体"/>
          <w:szCs w:val="21"/>
        </w:rPr>
        <w:t xml:space="preserve">            </w:t>
      </w:r>
      <w:r>
        <w:rPr>
          <w:rFonts w:ascii="宋体" w:eastAsia="宋体" w:hAnsi="宋体" w:cs="宋体" w:hint="eastAsia"/>
          <w:szCs w:val="21"/>
        </w:rPr>
        <w:t>文章编号:</w:t>
      </w:r>
    </w:p>
    <w:bookmarkEnd w:id="0"/>
    <w:bookmarkEnd w:id="1"/>
    <w:p w:rsidR="00694201" w:rsidRDefault="00694201">
      <w:pPr>
        <w:spacing w:line="360" w:lineRule="auto"/>
        <w:ind w:firstLineChars="200" w:firstLine="422"/>
        <w:rPr>
          <w:rFonts w:ascii="宋体" w:eastAsia="宋体" w:hAnsi="宋体" w:cs="宋体"/>
          <w:b/>
          <w:bCs/>
          <w:szCs w:val="21"/>
        </w:rPr>
      </w:pP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我国是一个有尊老敬老优秀传统的国家，一个国度对老年人和老年问题的关注程度，直接反映着这个国家和社会的文明程度。然而，结合国情来看，我国人口老龄化问题甚多，亟待得到</w:t>
      </w:r>
      <w:proofErr w:type="gramStart"/>
      <w:r>
        <w:rPr>
          <w:rFonts w:ascii="宋体" w:eastAsia="宋体" w:hAnsi="宋体" w:cs="宋体" w:hint="eastAsia"/>
          <w:szCs w:val="21"/>
        </w:rPr>
        <w:t>有效关注</w:t>
      </w:r>
      <w:proofErr w:type="gramEnd"/>
      <w:r>
        <w:rPr>
          <w:rFonts w:ascii="宋体" w:eastAsia="宋体" w:hAnsi="宋体" w:cs="宋体" w:hint="eastAsia"/>
          <w:szCs w:val="21"/>
        </w:rPr>
        <w:t>和改善。根据《中国统计年鉴》的数据，截止到2015年底，我国约有1.4亿人超过65岁的老人，占总人口比重为10.5%，较2014年的10.1%上涨了0.4个百分点，约1000万老年人。由此来看，伴随着老年人口与平均寿命的不断增加，老龄化现状难以得到有效制止。另外，相关研究数据表明，预计十年之后，我国人口比例中，将达到25%左右的人口超过60岁。</w:t>
      </w:r>
      <w:bookmarkStart w:id="2" w:name="_Hlk483249311"/>
      <w:r>
        <w:rPr>
          <w:rFonts w:ascii="宋体" w:eastAsia="宋体" w:hAnsi="宋体" w:cs="宋体" w:hint="eastAsia"/>
          <w:szCs w:val="21"/>
        </w:rPr>
        <w:t>[1]</w:t>
      </w:r>
      <w:bookmarkEnd w:id="2"/>
      <w:r>
        <w:rPr>
          <w:rFonts w:ascii="宋体" w:eastAsia="宋体" w:hAnsi="宋体" w:cs="宋体" w:hint="eastAsia"/>
          <w:szCs w:val="21"/>
        </w:rPr>
        <w:t>人口老龄化压力的增加，使得高龄、失独、失能老人的数量不断增多，老年人对于养老和医疗健康护理的需求越来越迫切，尤其是在追求“健康老龄化”的要求下，“医养结合”模式越来越被大众所认可和接受。2016年3月，《十三个五年规划纲要》明确指出，我国要增强力度建设一个以居家养老为基础，以社区为依托，以机构为补充的，相互协调，互相支撑，推动医疗卫生事业和养老服务资源链接，和谐发展的综合体系。[2]在“医养结合”模式中，相当一部分老年人选择了社区居家养老，因此，加强对</w:t>
      </w:r>
      <w:proofErr w:type="gramStart"/>
      <w:r>
        <w:rPr>
          <w:rFonts w:ascii="宋体" w:eastAsia="宋体" w:hAnsi="宋体" w:cs="宋体" w:hint="eastAsia"/>
          <w:szCs w:val="21"/>
        </w:rPr>
        <w:t>医</w:t>
      </w:r>
      <w:proofErr w:type="gramEnd"/>
      <w:r>
        <w:rPr>
          <w:rFonts w:ascii="宋体" w:eastAsia="宋体" w:hAnsi="宋体" w:cs="宋体" w:hint="eastAsia"/>
          <w:szCs w:val="21"/>
        </w:rPr>
        <w:t>养结合中社区居家养老模式的规整，是社会亟待需要解决的重要领域。</w:t>
      </w:r>
    </w:p>
    <w:p w:rsidR="00694201" w:rsidRDefault="00694201">
      <w:pPr>
        <w:spacing w:line="360" w:lineRule="auto"/>
        <w:rPr>
          <w:rFonts w:ascii="宋体" w:eastAsia="宋体" w:hAnsi="宋体" w:cs="宋体"/>
          <w:sz w:val="24"/>
        </w:rPr>
      </w:pPr>
    </w:p>
    <w:p w:rsidR="00694201" w:rsidRDefault="00694201">
      <w:pPr>
        <w:spacing w:line="360" w:lineRule="auto"/>
        <w:rPr>
          <w:rFonts w:ascii="宋体" w:eastAsia="宋体" w:hAnsi="宋体" w:cs="宋体"/>
          <w:sz w:val="24"/>
        </w:rPr>
      </w:pPr>
    </w:p>
    <w:p w:rsidR="00694201" w:rsidRDefault="006A68D5">
      <w:pPr>
        <w:ind w:firstLineChars="200" w:firstLine="482"/>
        <w:jc w:val="center"/>
        <w:outlineLvl w:val="0"/>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一、社区居家</w:t>
      </w:r>
      <w:proofErr w:type="gramStart"/>
      <w:r>
        <w:rPr>
          <w:rFonts w:asciiTheme="majorEastAsia" w:eastAsiaTheme="majorEastAsia" w:hAnsiTheme="majorEastAsia" w:cstheme="majorEastAsia" w:hint="eastAsia"/>
          <w:b/>
          <w:bCs/>
          <w:sz w:val="24"/>
        </w:rPr>
        <w:t>医</w:t>
      </w:r>
      <w:proofErr w:type="gramEnd"/>
      <w:r>
        <w:rPr>
          <w:rFonts w:asciiTheme="majorEastAsia" w:eastAsiaTheme="majorEastAsia" w:hAnsiTheme="majorEastAsia" w:cstheme="majorEastAsia" w:hint="eastAsia"/>
          <w:b/>
          <w:bCs/>
          <w:sz w:val="24"/>
        </w:rPr>
        <w:t>养结合养老模式的概念和特征</w:t>
      </w:r>
    </w:p>
    <w:p w:rsidR="00694201" w:rsidRDefault="00694201">
      <w:pPr>
        <w:outlineLvl w:val="1"/>
        <w:rPr>
          <w:rFonts w:asciiTheme="majorEastAsia" w:eastAsiaTheme="majorEastAsia" w:hAnsiTheme="majorEastAsia" w:cstheme="majorEastAsia"/>
          <w:b/>
          <w:bCs/>
          <w:sz w:val="24"/>
        </w:rPr>
      </w:pP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所谓</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养结合模式，就是指通过整合现有社会医疗资源和养老服务资源，通过多渠道的集中医疗和养老资金，为失能、失智和高龄老人等特殊老年人群体，提供在社区居家等综合性服务。我国的</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可进一步细化为机构养老和社区居家养老两种模式。其中，机构养老是在专门的养老机构中为特殊老年群体提供医疗治理和健康照护；社区居家养老模式则是以社区为依托，对接社区医疗和养老资源，为选择居家养老的这部分特殊老年人群提供所需要的服务。在当前我国的社会大环境和公众养老意愿背景下，社区居家养老</w:t>
      </w:r>
      <w:proofErr w:type="gramStart"/>
      <w:r>
        <w:rPr>
          <w:rFonts w:ascii="宋体" w:eastAsia="宋体" w:hAnsi="宋体" w:cs="宋体" w:hint="eastAsia"/>
          <w:szCs w:val="21"/>
        </w:rPr>
        <w:t>较机构</w:t>
      </w:r>
      <w:proofErr w:type="gramEnd"/>
      <w:r>
        <w:rPr>
          <w:rFonts w:ascii="宋体" w:eastAsia="宋体" w:hAnsi="宋体" w:cs="宋体" w:hint="eastAsia"/>
          <w:szCs w:val="21"/>
        </w:rPr>
        <w:t>养老更能体现传统，受到更多老年人的选择。</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养老模式指的是通过整合社区内的医疗和养老服务资源，让有特殊状况的老年人能够居住在家中，享受其所需的医疗和养老结合服务。其本质是在传统养老服务的基础上，加入医疗服务，如医疗照护，以解决特殊老年群体的养老问题，改善其健康状况，提升其晚年生活质量。[3]</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总体来说，社区居家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养结合养老模式具备以下特征：</w:t>
      </w:r>
    </w:p>
    <w:p w:rsidR="00694201" w:rsidRDefault="006A68D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（一）兼顾居家养老传统的社会化养老模式</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“孝道”文化在我国的传统文化中影响深远，受此影响老年人在选择养老是更偏向于选择居家养老而</w:t>
      </w:r>
      <w:proofErr w:type="gramStart"/>
      <w:r>
        <w:rPr>
          <w:rFonts w:ascii="宋体" w:eastAsia="宋体" w:hAnsi="宋体" w:cs="宋体" w:hint="eastAsia"/>
          <w:szCs w:val="21"/>
        </w:rPr>
        <w:t>非机构</w:t>
      </w:r>
      <w:proofErr w:type="gramEnd"/>
      <w:r>
        <w:rPr>
          <w:rFonts w:ascii="宋体" w:eastAsia="宋体" w:hAnsi="宋体" w:cs="宋体" w:hint="eastAsia"/>
          <w:szCs w:val="21"/>
        </w:rPr>
        <w:t>养老，并且也有研究显示，老年人在机构养老中由于生活孤独、缺乏家庭关爱等会诱发焦虑症、抑郁症的精神疾病，反而不利于其健康养老。兼顾了我国居家养老的传统并且适应现在社会化发展的社区居家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养应运而生。通过社区平台提供医疗服务和日常照护，强调家庭适度参与，全方位为老年人提供满足其身心需要的养老服务。</w:t>
      </w:r>
    </w:p>
    <w:p w:rsidR="00694201" w:rsidRDefault="006A68D5">
      <w:pPr>
        <w:spacing w:line="360" w:lineRule="auto"/>
        <w:ind w:firstLineChars="200" w:firstLine="422"/>
        <w:rPr>
          <w:rFonts w:ascii="宋体" w:eastAsia="宋体" w:hAnsi="宋体" w:cs="宋体"/>
          <w:szCs w:val="21"/>
        </w:rPr>
      </w:pPr>
      <w:r>
        <w:rPr>
          <w:rFonts w:ascii="宋体" w:eastAsia="宋体" w:hAnsi="宋体" w:cs="宋体" w:hint="eastAsia"/>
          <w:b/>
          <w:bCs/>
          <w:szCs w:val="21"/>
        </w:rPr>
        <w:t>（二）服务对象覆盖社区健康状况不佳的所有老年人群</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并非向所有老年人都提供服务，而是在社区的范围内，针对本社区健康状况不佳的老年人群，尤其是罹患慢性病、失能失智、病后需要康复介入等。并且由于这部分老年人行动不便，身体机能受损，自理能力差甚至丧失等，他们最需要专业化的医疗服务、贴心的养老服务的。在老年人身体健康状况或疾病状况发生变化时，能够第一时间为老年人提供及时的医疗服务是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养结合模式的基本原则，同时也符合我国提倡“健康老龄化”的需求。</w:t>
      </w:r>
    </w:p>
    <w:p w:rsidR="00694201" w:rsidRDefault="006A68D5">
      <w:pPr>
        <w:spacing w:line="360" w:lineRule="auto"/>
        <w:ind w:firstLineChars="200" w:firstLine="422"/>
        <w:rPr>
          <w:rFonts w:ascii="宋体" w:eastAsia="宋体" w:hAnsi="宋体" w:cs="宋体"/>
          <w:szCs w:val="21"/>
        </w:rPr>
      </w:pPr>
      <w:r>
        <w:rPr>
          <w:rFonts w:ascii="宋体" w:eastAsia="宋体" w:hAnsi="宋体" w:cs="宋体" w:hint="eastAsia"/>
          <w:b/>
          <w:bCs/>
          <w:szCs w:val="21"/>
        </w:rPr>
        <w:t>（三）</w:t>
      </w:r>
      <w:proofErr w:type="gramStart"/>
      <w:r>
        <w:rPr>
          <w:rFonts w:ascii="宋体" w:eastAsia="宋体" w:hAnsi="宋体" w:cs="宋体" w:hint="eastAsia"/>
          <w:b/>
          <w:bCs/>
          <w:szCs w:val="21"/>
        </w:rPr>
        <w:t>医养间</w:t>
      </w:r>
      <w:proofErr w:type="gramEnd"/>
      <w:r>
        <w:rPr>
          <w:rFonts w:ascii="宋体" w:eastAsia="宋体" w:hAnsi="宋体" w:cs="宋体" w:hint="eastAsia"/>
          <w:b/>
          <w:bCs/>
          <w:szCs w:val="21"/>
        </w:rPr>
        <w:t>双向互动，</w:t>
      </w:r>
      <w:proofErr w:type="gramStart"/>
      <w:r>
        <w:rPr>
          <w:rFonts w:ascii="宋体" w:eastAsia="宋体" w:hAnsi="宋体" w:cs="宋体" w:hint="eastAsia"/>
          <w:b/>
          <w:bCs/>
          <w:szCs w:val="21"/>
        </w:rPr>
        <w:t>医养服</w:t>
      </w:r>
      <w:proofErr w:type="gramEnd"/>
      <w:r>
        <w:rPr>
          <w:rFonts w:ascii="宋体" w:eastAsia="宋体" w:hAnsi="宋体" w:cs="宋体" w:hint="eastAsia"/>
          <w:b/>
          <w:bCs/>
          <w:szCs w:val="21"/>
        </w:rPr>
        <w:t>务更加多元化</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在社区居家养老中，</w:t>
      </w:r>
      <w:proofErr w:type="gramStart"/>
      <w:r>
        <w:rPr>
          <w:rFonts w:ascii="宋体" w:eastAsia="宋体" w:hAnsi="宋体" w:cs="宋体" w:hint="eastAsia"/>
          <w:szCs w:val="21"/>
        </w:rPr>
        <w:t>医向养</w:t>
      </w:r>
      <w:proofErr w:type="gramEnd"/>
      <w:r>
        <w:rPr>
          <w:rFonts w:ascii="宋体" w:eastAsia="宋体" w:hAnsi="宋体" w:cs="宋体" w:hint="eastAsia"/>
          <w:szCs w:val="21"/>
        </w:rPr>
        <w:t>结合是资源链接医疗卫生和社区养老服务，方便老年人居家康复治疗，培养专业人才；养向</w:t>
      </w:r>
      <w:proofErr w:type="gramStart"/>
      <w:r>
        <w:rPr>
          <w:rFonts w:ascii="宋体" w:eastAsia="宋体" w:hAnsi="宋体" w:cs="宋体" w:hint="eastAsia"/>
          <w:szCs w:val="21"/>
        </w:rPr>
        <w:t>医</w:t>
      </w:r>
      <w:proofErr w:type="gramEnd"/>
      <w:r>
        <w:rPr>
          <w:rFonts w:ascii="宋体" w:eastAsia="宋体" w:hAnsi="宋体" w:cs="宋体" w:hint="eastAsia"/>
          <w:szCs w:val="21"/>
        </w:rPr>
        <w:t>结合是社区卫生服务中心等机构具备一定医疗康复服务功能，能够承接需要后期康复护理的病人，实现长期护理照料。该模式下，不仅可以为老年人建立</w:t>
      </w:r>
      <w:proofErr w:type="gramStart"/>
      <w:r>
        <w:rPr>
          <w:rFonts w:ascii="宋体" w:eastAsia="宋体" w:hAnsi="宋体" w:cs="宋体" w:hint="eastAsia"/>
          <w:szCs w:val="21"/>
        </w:rPr>
        <w:t>医</w:t>
      </w:r>
      <w:proofErr w:type="gramEnd"/>
      <w:r>
        <w:rPr>
          <w:rFonts w:ascii="宋体" w:eastAsia="宋体" w:hAnsi="宋体" w:cs="宋体" w:hint="eastAsia"/>
          <w:szCs w:val="21"/>
        </w:rPr>
        <w:t>养档案，实时监控其健康程度，满足专业化服务需要，还可以提供资金支持，帮助有需要的老年人减轻经济负担。</w:t>
      </w:r>
    </w:p>
    <w:p w:rsidR="00694201" w:rsidRDefault="006A68D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（四）充分整合社会</w:t>
      </w:r>
      <w:proofErr w:type="gramStart"/>
      <w:r>
        <w:rPr>
          <w:rFonts w:ascii="宋体" w:eastAsia="宋体" w:hAnsi="宋体" w:cs="宋体" w:hint="eastAsia"/>
          <w:b/>
          <w:bCs/>
          <w:szCs w:val="21"/>
        </w:rPr>
        <w:t>医</w:t>
      </w:r>
      <w:proofErr w:type="gramEnd"/>
      <w:r>
        <w:rPr>
          <w:rFonts w:ascii="宋体" w:eastAsia="宋体" w:hAnsi="宋体" w:cs="宋体" w:hint="eastAsia"/>
          <w:b/>
          <w:bCs/>
          <w:szCs w:val="21"/>
        </w:rPr>
        <w:t>养资源，实现医院和社区卫生机构的双向平衡</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现实来看，就医市场需求迫切，尤其是在一些三级大型医院中，尤其是品牌科室领域等，</w:t>
      </w:r>
      <w:proofErr w:type="gramStart"/>
      <w:r>
        <w:rPr>
          <w:rFonts w:ascii="宋体" w:eastAsia="宋体" w:hAnsi="宋体" w:cs="宋体" w:hint="eastAsia"/>
          <w:szCs w:val="21"/>
        </w:rPr>
        <w:t>存在号源较少</w:t>
      </w:r>
      <w:proofErr w:type="gramEnd"/>
      <w:r>
        <w:rPr>
          <w:rFonts w:ascii="宋体" w:eastAsia="宋体" w:hAnsi="宋体" w:cs="宋体" w:hint="eastAsia"/>
          <w:szCs w:val="21"/>
        </w:rPr>
        <w:t>、看病较难等问题，并且诸多医院存在床位紧张、入住排队时间久、治疗收费高等现象，这些对于已经接受治疗需要康复静养的老年患者来说并非是最佳选择。与此同时，床位较为充足的社区卫生机构，使用效率较低。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养结合模式则充当了两者的过渡路径，进行优势资源的匹配及链接，让符合条件的患病老人转入社区卫生机构进行康复护理和长期照料，在缓解大医院资源紧张的同时满足多样化的医养需求。</w:t>
      </w:r>
    </w:p>
    <w:p w:rsidR="00694201" w:rsidRDefault="00694201">
      <w:pPr>
        <w:rPr>
          <w:rFonts w:ascii="宋体" w:eastAsia="宋体" w:hAnsi="宋体" w:cs="宋体"/>
          <w:sz w:val="24"/>
        </w:rPr>
      </w:pPr>
    </w:p>
    <w:p w:rsidR="00694201" w:rsidRDefault="006A68D5">
      <w:pPr>
        <w:ind w:firstLineChars="200" w:firstLine="482"/>
        <w:jc w:val="center"/>
        <w:outlineLvl w:val="0"/>
        <w:rPr>
          <w:rFonts w:asciiTheme="majorEastAsia" w:eastAsiaTheme="majorEastAsia" w:hAnsiTheme="majorEastAsia" w:cstheme="majorEastAsia"/>
          <w:b/>
          <w:bCs/>
          <w:sz w:val="24"/>
        </w:rPr>
      </w:pPr>
      <w:bookmarkStart w:id="3" w:name="_Toc32272"/>
      <w:r>
        <w:rPr>
          <w:rFonts w:asciiTheme="majorEastAsia" w:eastAsiaTheme="majorEastAsia" w:hAnsiTheme="majorEastAsia" w:cstheme="majorEastAsia" w:hint="eastAsia"/>
          <w:b/>
          <w:bCs/>
          <w:sz w:val="24"/>
        </w:rPr>
        <w:t>二、</w:t>
      </w:r>
      <w:proofErr w:type="gramStart"/>
      <w:r>
        <w:rPr>
          <w:rFonts w:asciiTheme="majorEastAsia" w:eastAsiaTheme="majorEastAsia" w:hAnsiTheme="majorEastAsia" w:cstheme="majorEastAsia" w:hint="eastAsia"/>
          <w:b/>
          <w:bCs/>
          <w:sz w:val="24"/>
        </w:rPr>
        <w:t>医</w:t>
      </w:r>
      <w:proofErr w:type="gramEnd"/>
      <w:r>
        <w:rPr>
          <w:rFonts w:asciiTheme="majorEastAsia" w:eastAsiaTheme="majorEastAsia" w:hAnsiTheme="majorEastAsia" w:cstheme="majorEastAsia" w:hint="eastAsia"/>
          <w:b/>
          <w:bCs/>
          <w:sz w:val="24"/>
        </w:rPr>
        <w:t>养结合养老模式在社区居家中存在的必要性</w:t>
      </w:r>
      <w:bookmarkEnd w:id="3"/>
    </w:p>
    <w:p w:rsidR="00694201" w:rsidRDefault="00694201">
      <w:pPr>
        <w:spacing w:line="360" w:lineRule="auto"/>
        <w:ind w:firstLineChars="200" w:firstLine="420"/>
        <w:rPr>
          <w:rFonts w:ascii="宋体" w:eastAsia="宋体" w:hAnsi="宋体" w:cs="宋体"/>
          <w:szCs w:val="21"/>
        </w:rPr>
      </w:pPr>
      <w:bookmarkStart w:id="4" w:name="_Toc3058"/>
    </w:p>
    <w:p w:rsidR="00694201" w:rsidRDefault="006A68D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（一）老龄化程度加剧，对养老服务的需求增加</w:t>
      </w:r>
      <w:bookmarkEnd w:id="4"/>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目前我国老龄化问题已经备受关注，并且老龄化的程度和速度，随时间流逝不断加剧，随之带来的健康问题更加严重。为老年人提供适宜的场所，使老年人既能接受健康照护也能养老，同时还能带来身心的满足和愉悦感，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养结合模式值得被推广和接纳。</w:t>
      </w:r>
    </w:p>
    <w:p w:rsidR="00694201" w:rsidRDefault="006A68D5">
      <w:pPr>
        <w:spacing w:line="360" w:lineRule="auto"/>
        <w:ind w:firstLineChars="500" w:firstLine="1050"/>
        <w:rPr>
          <w:rFonts w:ascii="宋体" w:eastAsia="宋体" w:hAnsi="宋体" w:cs="宋体"/>
          <w:szCs w:val="21"/>
        </w:rPr>
      </w:pPr>
      <w:r>
        <w:rPr>
          <w:rFonts w:ascii="宋体" w:eastAsia="宋体" w:hAnsi="宋体" w:cs="宋体" w:hint="eastAsia"/>
          <w:szCs w:val="21"/>
        </w:rPr>
        <w:t>表2-1  2020—2100年中国老年人口数及老龄化</w:t>
      </w:r>
      <w:proofErr w:type="gramStart"/>
      <w:r>
        <w:rPr>
          <w:rFonts w:ascii="宋体" w:eastAsia="宋体" w:hAnsi="宋体" w:cs="宋体" w:hint="eastAsia"/>
          <w:szCs w:val="21"/>
        </w:rPr>
        <w:t>率发展</w:t>
      </w:r>
      <w:proofErr w:type="gramEnd"/>
      <w:r>
        <w:rPr>
          <w:rFonts w:ascii="宋体" w:eastAsia="宋体" w:hAnsi="宋体" w:cs="宋体" w:hint="eastAsia"/>
          <w:szCs w:val="21"/>
        </w:rPr>
        <w:t>趋势预测</w:t>
      </w:r>
    </w:p>
    <w:tbl>
      <w:tblPr>
        <w:tblStyle w:val="a9"/>
        <w:tblpPr w:leftFromText="180" w:rightFromText="180" w:vertAnchor="text" w:horzAnchor="page" w:tblpX="1792" w:tblpY="315"/>
        <w:tblOverlap w:val="never"/>
        <w:tblW w:w="8522" w:type="dxa"/>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694201">
        <w:tc>
          <w:tcPr>
            <w:tcW w:w="946" w:type="dxa"/>
            <w:vMerge w:val="restart"/>
            <w:vAlign w:val="center"/>
          </w:tcPr>
          <w:p w:rsidR="00694201" w:rsidRDefault="006A68D5">
            <w:pPr>
              <w:rPr>
                <w:rFonts w:ascii="宋体" w:eastAsia="宋体" w:hAnsi="宋体" w:cs="宋体"/>
                <w:szCs w:val="21"/>
              </w:rPr>
            </w:pPr>
            <w:r>
              <w:rPr>
                <w:rFonts w:ascii="宋体" w:eastAsia="宋体" w:hAnsi="宋体" w:cs="宋体" w:hint="eastAsia"/>
                <w:szCs w:val="21"/>
              </w:rPr>
              <w:t>年份</w:t>
            </w:r>
          </w:p>
        </w:tc>
        <w:tc>
          <w:tcPr>
            <w:tcW w:w="3788" w:type="dxa"/>
            <w:gridSpan w:val="4"/>
            <w:vAlign w:val="center"/>
          </w:tcPr>
          <w:p w:rsidR="00694201" w:rsidRDefault="006A68D5">
            <w:pPr>
              <w:ind w:firstLineChars="200" w:firstLine="420"/>
              <w:jc w:val="center"/>
              <w:rPr>
                <w:rFonts w:ascii="宋体" w:eastAsia="宋体" w:hAnsi="宋体" w:cs="宋体"/>
                <w:szCs w:val="21"/>
              </w:rPr>
            </w:pPr>
            <w:r>
              <w:rPr>
                <w:rFonts w:ascii="宋体" w:eastAsia="宋体" w:hAnsi="宋体" w:cs="宋体" w:hint="eastAsia"/>
                <w:szCs w:val="21"/>
              </w:rPr>
              <w:t>人数（亿人）</w:t>
            </w:r>
          </w:p>
        </w:tc>
        <w:tc>
          <w:tcPr>
            <w:tcW w:w="3788" w:type="dxa"/>
            <w:gridSpan w:val="4"/>
            <w:vAlign w:val="center"/>
          </w:tcPr>
          <w:p w:rsidR="00694201" w:rsidRDefault="006A68D5">
            <w:pPr>
              <w:ind w:firstLineChars="200" w:firstLine="420"/>
              <w:jc w:val="center"/>
              <w:rPr>
                <w:rFonts w:ascii="宋体" w:eastAsia="宋体" w:hAnsi="宋体" w:cs="宋体"/>
                <w:szCs w:val="21"/>
              </w:rPr>
            </w:pPr>
            <w:r>
              <w:rPr>
                <w:rFonts w:ascii="宋体" w:eastAsia="宋体" w:hAnsi="宋体" w:cs="宋体" w:hint="eastAsia"/>
                <w:szCs w:val="21"/>
              </w:rPr>
              <w:t>比例（%）</w:t>
            </w:r>
          </w:p>
        </w:tc>
      </w:tr>
      <w:tr w:rsidR="00694201">
        <w:tc>
          <w:tcPr>
            <w:tcW w:w="946" w:type="dxa"/>
            <w:vMerge/>
            <w:vAlign w:val="center"/>
          </w:tcPr>
          <w:p w:rsidR="00694201" w:rsidRDefault="00694201">
            <w:pPr>
              <w:ind w:firstLineChars="200" w:firstLine="420"/>
              <w:jc w:val="center"/>
              <w:rPr>
                <w:rFonts w:ascii="宋体" w:eastAsia="宋体" w:hAnsi="宋体" w:cs="宋体"/>
                <w:szCs w:val="21"/>
              </w:rPr>
            </w:pP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总人数</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60岁以上</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65岁以上</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80岁以上</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60岁以上比例</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65岁以上比例</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80岁比例</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老年抚养比</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2020年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14.33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2.43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1.71</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0.28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16.96</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11.93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1.95</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26.3</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2030年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14.44</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3.48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2.36</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0.39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24.10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16.30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2.70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40.2</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2040年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14.29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3.98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3.14</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0.59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27.80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21.90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4.13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48.8</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2050年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13.73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4.30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3.18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0.90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31.30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23.20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6.55</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58.7</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2060年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13.00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4.19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3.39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0.93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32.23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26.07</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7.15</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60.3</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2070年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12.29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3.92</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3.12</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1.06</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31.89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25.38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8.62</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60.1</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2080年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11.63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3.91</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3.12</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1.01</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33.61</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26.82</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8.68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65.0</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2090年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11.04</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3.68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3.03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0.97</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33.33</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27.44</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8.78</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63.8</w:t>
            </w:r>
          </w:p>
        </w:tc>
      </w:tr>
      <w:tr w:rsidR="00694201">
        <w:tc>
          <w:tcPr>
            <w:tcW w:w="946" w:type="dxa"/>
            <w:vAlign w:val="center"/>
          </w:tcPr>
          <w:p w:rsidR="00694201" w:rsidRDefault="006A68D5">
            <w:pPr>
              <w:rPr>
                <w:rFonts w:ascii="宋体" w:eastAsia="宋体" w:hAnsi="宋体" w:cs="宋体"/>
                <w:szCs w:val="21"/>
              </w:rPr>
            </w:pPr>
            <w:r>
              <w:rPr>
                <w:rFonts w:ascii="宋体" w:eastAsia="宋体" w:hAnsi="宋体" w:cs="宋体" w:hint="eastAsia"/>
                <w:szCs w:val="21"/>
              </w:rPr>
              <w:t>2100年</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10.51</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3.60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2.89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1.09</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34.30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27.50</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10.37</w:t>
            </w:r>
          </w:p>
        </w:tc>
        <w:tc>
          <w:tcPr>
            <w:tcW w:w="947" w:type="dxa"/>
            <w:vAlign w:val="center"/>
          </w:tcPr>
          <w:p w:rsidR="00694201" w:rsidRDefault="006A68D5">
            <w:pPr>
              <w:rPr>
                <w:rFonts w:ascii="宋体" w:eastAsia="宋体" w:hAnsi="宋体" w:cs="宋体"/>
                <w:szCs w:val="21"/>
              </w:rPr>
            </w:pPr>
            <w:r>
              <w:rPr>
                <w:rFonts w:ascii="宋体" w:eastAsia="宋体" w:hAnsi="宋体" w:cs="宋体" w:hint="eastAsia"/>
                <w:szCs w:val="21"/>
              </w:rPr>
              <w:t>67.1</w:t>
            </w:r>
          </w:p>
        </w:tc>
      </w:tr>
    </w:tbl>
    <w:p w:rsidR="00694201" w:rsidRDefault="00694201">
      <w:pPr>
        <w:rPr>
          <w:rFonts w:ascii="宋体" w:eastAsia="宋体" w:hAnsi="宋体" w:cs="宋体"/>
          <w:szCs w:val="21"/>
        </w:rPr>
      </w:pP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数据来源：</w:t>
      </w:r>
      <w:proofErr w:type="gramStart"/>
      <w:r>
        <w:rPr>
          <w:rFonts w:ascii="宋体" w:eastAsia="宋体" w:hAnsi="宋体" w:cs="宋体" w:hint="eastAsia"/>
          <w:szCs w:val="21"/>
        </w:rPr>
        <w:t>杜鹏等</w:t>
      </w:r>
      <w:proofErr w:type="gramEnd"/>
      <w:r>
        <w:rPr>
          <w:rFonts w:ascii="宋体" w:eastAsia="宋体" w:hAnsi="宋体" w:cs="宋体" w:hint="eastAsia"/>
          <w:szCs w:val="21"/>
        </w:rPr>
        <w:t>在 《人口研究》上发表的《中国人口老龄化百年发展趋势》一文。</w:t>
      </w:r>
      <w:r>
        <w:rPr>
          <w:rFonts w:ascii="宋体" w:eastAsia="宋体" w:hAnsi="宋体" w:cs="宋体" w:hint="eastAsia"/>
          <w:szCs w:val="21"/>
        </w:rPr>
        <w:lastRenderedPageBreak/>
        <w:t>2005 年第 6 期</w:t>
      </w:r>
    </w:p>
    <w:p w:rsidR="00694201" w:rsidRDefault="00694201">
      <w:pPr>
        <w:ind w:firstLineChars="200" w:firstLine="480"/>
        <w:rPr>
          <w:rFonts w:ascii="宋体" w:eastAsia="宋体" w:hAnsi="宋体" w:cs="宋体"/>
          <w:sz w:val="24"/>
        </w:rPr>
      </w:pP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通过表2-1可以看出，接下来的80年，我国的老年人口总数呈现递减趋势，但80岁以上老人基本呈现递增趋势，而且所占比重逐渐加大，与从同时，老龄化率也会保持较高的比例增长速度。由此来看，</w:t>
      </w:r>
      <w:proofErr w:type="gramStart"/>
      <w:r>
        <w:rPr>
          <w:rFonts w:ascii="宋体" w:eastAsia="宋体" w:hAnsi="宋体" w:cs="宋体" w:hint="eastAsia"/>
          <w:szCs w:val="21"/>
        </w:rPr>
        <w:t>高人数</w:t>
      </w:r>
      <w:proofErr w:type="gramEnd"/>
      <w:r>
        <w:rPr>
          <w:rFonts w:ascii="宋体" w:eastAsia="宋体" w:hAnsi="宋体" w:cs="宋体" w:hint="eastAsia"/>
          <w:szCs w:val="21"/>
        </w:rPr>
        <w:t>带来高需求，居高不下的老年人口对基础设施建设提出了新的挑战。居家养老、</w:t>
      </w:r>
      <w:proofErr w:type="gramStart"/>
      <w:r>
        <w:rPr>
          <w:rFonts w:ascii="宋体" w:eastAsia="宋体" w:hAnsi="宋体" w:cs="宋体" w:hint="eastAsia"/>
          <w:szCs w:val="21"/>
        </w:rPr>
        <w:t>医</w:t>
      </w:r>
      <w:proofErr w:type="gramEnd"/>
      <w:r>
        <w:rPr>
          <w:rFonts w:ascii="宋体" w:eastAsia="宋体" w:hAnsi="宋体" w:cs="宋体" w:hint="eastAsia"/>
          <w:szCs w:val="21"/>
        </w:rPr>
        <w:t>养结合的有效配合，成为解决这一问题的重要途径。</w:t>
      </w:r>
    </w:p>
    <w:p w:rsidR="00694201" w:rsidRDefault="006A68D5">
      <w:pPr>
        <w:spacing w:line="360" w:lineRule="auto"/>
        <w:ind w:firstLineChars="200" w:firstLine="422"/>
        <w:rPr>
          <w:rFonts w:ascii="宋体" w:eastAsia="宋体" w:hAnsi="宋体" w:cs="宋体"/>
          <w:b/>
          <w:bCs/>
          <w:szCs w:val="21"/>
        </w:rPr>
      </w:pPr>
      <w:bookmarkStart w:id="5" w:name="_Toc17404"/>
      <w:r>
        <w:rPr>
          <w:rFonts w:ascii="宋体" w:eastAsia="宋体" w:hAnsi="宋体" w:cs="宋体" w:hint="eastAsia"/>
          <w:b/>
          <w:bCs/>
          <w:szCs w:val="21"/>
        </w:rPr>
        <w:t>（二） 养老机构专业能力有限，医疗服务保障不足</w:t>
      </w:r>
      <w:bookmarkEnd w:id="5"/>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在我国，卫生部门管辖医疗机构，养老机构属于民政部门管辖，两部门相互独立资源和信息不能有效流通。医疗机构不能养老，养老机构不方便就医，这一矛盾的问题困扰着需要医疗护理和养老照料的老年人。据最新数据显示，我国养老院的床位空置率截止2015年3月，已高达48% 左右，有限的硬件设备支持是社区养老机构的主要弊端。[6]同时，另有研究表明80%患病的老年人不需去大医院就诊。通过社区卫生机构承担起患病老人的医疗照护非常必要，并且也可以依托社区的养老资源提供对患病老年人的病后康复长期照护，因此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养结合模式的提出发挥了一箭双雕的功效。在“健康老龄化”的背景下，将不能提供医疗资源的养老机构与扎根社区有一定医疗卫生基础的社区卫生机构结合起来，为患病老年人提供“管家式”的</w:t>
      </w:r>
      <w:proofErr w:type="gramStart"/>
      <w:r>
        <w:rPr>
          <w:rFonts w:ascii="宋体" w:eastAsia="宋体" w:hAnsi="宋体" w:cs="宋体" w:hint="eastAsia"/>
          <w:szCs w:val="21"/>
        </w:rPr>
        <w:t>医</w:t>
      </w:r>
      <w:proofErr w:type="gramEnd"/>
      <w:r>
        <w:rPr>
          <w:rFonts w:ascii="宋体" w:eastAsia="宋体" w:hAnsi="宋体" w:cs="宋体" w:hint="eastAsia"/>
          <w:szCs w:val="21"/>
        </w:rPr>
        <w:t>养照护具有重要意义。</w:t>
      </w:r>
    </w:p>
    <w:p w:rsidR="00694201" w:rsidRDefault="006A68D5">
      <w:pPr>
        <w:spacing w:line="360" w:lineRule="auto"/>
        <w:ind w:firstLineChars="200" w:firstLine="422"/>
        <w:rPr>
          <w:rFonts w:ascii="宋体" w:eastAsia="宋体" w:hAnsi="宋体" w:cs="宋体"/>
          <w:b/>
          <w:bCs/>
          <w:szCs w:val="21"/>
        </w:rPr>
      </w:pPr>
      <w:bookmarkStart w:id="6" w:name="_Toc13372"/>
      <w:r>
        <w:rPr>
          <w:rFonts w:ascii="宋体" w:eastAsia="宋体" w:hAnsi="宋体" w:cs="宋体" w:hint="eastAsia"/>
          <w:b/>
          <w:bCs/>
          <w:szCs w:val="21"/>
        </w:rPr>
        <w:t>（三） 医疗机构提供长期养老服务阻力甚多</w:t>
      </w:r>
      <w:bookmarkEnd w:id="6"/>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老年人健康问题随老年人口的增多而日益突出，对医疗资源的需求与日俱增，这对我国医疗卫生服务的数量和质量都提出来挑战。但事实上我国的医疗资源却呈现利用</w:t>
      </w:r>
      <w:proofErr w:type="gramStart"/>
      <w:r>
        <w:rPr>
          <w:rFonts w:ascii="宋体" w:eastAsia="宋体" w:hAnsi="宋体" w:cs="宋体" w:hint="eastAsia"/>
          <w:szCs w:val="21"/>
        </w:rPr>
        <w:t>不</w:t>
      </w:r>
      <w:proofErr w:type="gramEnd"/>
      <w:r>
        <w:rPr>
          <w:rFonts w:ascii="宋体" w:eastAsia="宋体" w:hAnsi="宋体" w:cs="宋体" w:hint="eastAsia"/>
          <w:szCs w:val="21"/>
        </w:rPr>
        <w:t>均衡的弊端。在诸如，北京、上海等城市的三甲医院医疗资源相当紧张，而在一些二</w:t>
      </w:r>
      <w:proofErr w:type="gramStart"/>
      <w:r>
        <w:rPr>
          <w:rFonts w:ascii="宋体" w:eastAsia="宋体" w:hAnsi="宋体" w:cs="宋体" w:hint="eastAsia"/>
          <w:szCs w:val="21"/>
        </w:rPr>
        <w:t>甲以下</w:t>
      </w:r>
      <w:proofErr w:type="gramEnd"/>
      <w:r>
        <w:rPr>
          <w:rFonts w:ascii="宋体" w:eastAsia="宋体" w:hAnsi="宋体" w:cs="宋体" w:hint="eastAsia"/>
          <w:szCs w:val="21"/>
        </w:rPr>
        <w:t>的小型医院和社区医院却存在床位空缺、医疗资源闲置的现象，例如有的患者宁可在三甲医院的楼道加床也不愿意到就近的小医院就诊。并且有学者研究发现，在大中型医院，为了享受更优质可持续的医疗服务，一些老年人在病情减轻后常常采取各种措施拒绝出院。[7]其中值得引起深思的是老年人因担心回家无人护理和社区养老机构不具备医疗护理条件等而拒绝出院。长此以往不仅会给老年人带来经济压力也会降低医疗资源的周转率，不利于其他患者公平使用。因此，积极发展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养结合服务不仅有利于加强养老和医疗资源合作，为社区患病老年人提供二合一的照料，而且有利于实现医疗资源的高效利用。</w:t>
      </w:r>
    </w:p>
    <w:p w:rsidR="00694201" w:rsidRDefault="006A68D5">
      <w:pPr>
        <w:spacing w:line="360" w:lineRule="auto"/>
        <w:ind w:firstLineChars="200" w:firstLine="422"/>
        <w:rPr>
          <w:rFonts w:ascii="宋体" w:eastAsia="宋体" w:hAnsi="宋体" w:cs="宋体"/>
          <w:szCs w:val="21"/>
        </w:rPr>
      </w:pPr>
      <w:bookmarkStart w:id="7" w:name="_Toc8723"/>
      <w:r>
        <w:rPr>
          <w:rFonts w:ascii="宋体" w:eastAsia="宋体" w:hAnsi="宋体" w:cs="宋体" w:hint="eastAsia"/>
          <w:b/>
          <w:bCs/>
          <w:szCs w:val="21"/>
        </w:rPr>
        <w:t>（四）传统养老观念对现有模式的影响</w:t>
      </w:r>
      <w:bookmarkEnd w:id="7"/>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孝道作为我国尊老养老的传统观念，能够亲自服侍老人，给予老人最切实的照料，是中华民族一向推崇的文化传承，然而，新形势下，面对就业压力、生存需求等方面的原因，机</w:t>
      </w:r>
      <w:r>
        <w:rPr>
          <w:rFonts w:ascii="宋体" w:eastAsia="宋体" w:hAnsi="宋体" w:cs="宋体" w:hint="eastAsia"/>
          <w:szCs w:val="21"/>
        </w:rPr>
        <w:lastRenderedPageBreak/>
        <w:t>构养老逐渐出现在大众视野中，然而，根深蒂固的亲力亲为如何被更好的接纳和推广，路并不好走。因此，建设社区居家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养结合模式时，一定要考虑这些传统养老观念的影响。尤其是，“健康老龄化”提出“改善老年群体生活和生命质量”等议题，对于老年人的照护不仅在于保证其身体健康，同时也要兼顾到精神层面，乐于接受，</w:t>
      </w:r>
      <w:proofErr w:type="gramStart"/>
      <w:r>
        <w:rPr>
          <w:rFonts w:ascii="宋体" w:eastAsia="宋体" w:hAnsi="宋体" w:cs="宋体" w:hint="eastAsia"/>
          <w:szCs w:val="21"/>
        </w:rPr>
        <w:t>享于安康</w:t>
      </w:r>
      <w:proofErr w:type="gramEnd"/>
      <w:r>
        <w:rPr>
          <w:rFonts w:ascii="宋体" w:eastAsia="宋体" w:hAnsi="宋体" w:cs="宋体" w:hint="eastAsia"/>
          <w:szCs w:val="21"/>
        </w:rPr>
        <w:t>。</w:t>
      </w:r>
    </w:p>
    <w:p w:rsidR="00694201" w:rsidRDefault="006A68D5">
      <w:pPr>
        <w:spacing w:line="360" w:lineRule="auto"/>
        <w:ind w:firstLineChars="200" w:firstLine="482"/>
        <w:jc w:val="center"/>
        <w:rPr>
          <w:rFonts w:ascii="宋体" w:eastAsia="宋体" w:hAnsi="宋体" w:cs="宋体"/>
          <w:b/>
          <w:bCs/>
          <w:sz w:val="24"/>
        </w:rPr>
      </w:pPr>
      <w:bookmarkStart w:id="8" w:name="_Toc17852"/>
      <w:r>
        <w:rPr>
          <w:rFonts w:ascii="宋体" w:eastAsia="宋体" w:hAnsi="宋体" w:cs="宋体" w:hint="eastAsia"/>
          <w:b/>
          <w:bCs/>
          <w:sz w:val="24"/>
        </w:rPr>
        <w:t>三 社区居家</w:t>
      </w:r>
      <w:proofErr w:type="gramStart"/>
      <w:r>
        <w:rPr>
          <w:rFonts w:ascii="宋体" w:eastAsia="宋体" w:hAnsi="宋体" w:cs="宋体" w:hint="eastAsia"/>
          <w:b/>
          <w:bCs/>
          <w:sz w:val="24"/>
        </w:rPr>
        <w:t>医</w:t>
      </w:r>
      <w:proofErr w:type="gramEnd"/>
      <w:r>
        <w:rPr>
          <w:rFonts w:ascii="宋体" w:eastAsia="宋体" w:hAnsi="宋体" w:cs="宋体" w:hint="eastAsia"/>
          <w:b/>
          <w:bCs/>
          <w:sz w:val="24"/>
        </w:rPr>
        <w:t>养结合养老模式的建议与对策</w:t>
      </w:r>
      <w:bookmarkEnd w:id="8"/>
    </w:p>
    <w:p w:rsidR="00694201" w:rsidRDefault="00694201">
      <w:pPr>
        <w:spacing w:line="360" w:lineRule="auto"/>
        <w:ind w:firstLineChars="200" w:firstLine="420"/>
        <w:rPr>
          <w:rFonts w:ascii="宋体" w:eastAsia="宋体" w:hAnsi="宋体" w:cs="宋体"/>
          <w:szCs w:val="21"/>
        </w:rPr>
      </w:pPr>
      <w:bookmarkStart w:id="9" w:name="_Toc22627"/>
    </w:p>
    <w:p w:rsidR="00694201" w:rsidRDefault="006A68D5">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（一）规范管理职责，完善顶层设计</w:t>
      </w:r>
      <w:bookmarkEnd w:id="9"/>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目前，我国的养老问题已经转变成为广受关注的社会问题，那么解决这一问题便毫无疑问的首先需要政府充分发挥主导作用。众所周知，我国社区居家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养结合模式发展较晚，在顶层制度设计中与医养结合模式面临着同样亟待解决的问题。</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首先，最突出的便是相关法律、法规不健全。在</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中，由于部门责任划分的不明确，常出现责任推脱、问题无人管理等现象，并且我国尚且没有医养结合方面明确的法律文件作为规范，这是这一制度发展过程中最大的羁绊。针对这个问题，政府应制定执业许可和市场准入机制，规范经营服务行为，加强相关机构规范化管理；参考国际标准及经验，对服务内容、形式、管理、职业标准、医护职业资格和权利义务等方面进行统一规范。[8]</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其次，统筹尚未健全，规划和组织协调存在诸多问题。社区居家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养结合模式并非是一个独立的模块，它从实行之初便涉及民政部门、医疗部门、社区机构等部门的参与，在资金筹集时可能还需要财政部门、福利基金会和第三</w:t>
      </w:r>
      <w:proofErr w:type="gramStart"/>
      <w:r>
        <w:rPr>
          <w:rFonts w:ascii="宋体" w:eastAsia="宋体" w:hAnsi="宋体" w:cs="宋体" w:hint="eastAsia"/>
          <w:szCs w:val="21"/>
        </w:rPr>
        <w:t>方社</w:t>
      </w:r>
      <w:proofErr w:type="gramEnd"/>
      <w:r>
        <w:rPr>
          <w:rFonts w:ascii="宋体" w:eastAsia="宋体" w:hAnsi="宋体" w:cs="宋体" w:hint="eastAsia"/>
          <w:szCs w:val="21"/>
        </w:rPr>
        <w:t>会企业的加入，在监督管理时需要政府和社会共同监督等等。因此社区居家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养结合模式是一个关系社会生活方方面面的重要议题，对于这一模式的统筹规划和组织协调必须要政府做主导力量。这种情况下，政府更有责任敦促各职能部口立足全局、加强协作使现有资源的使用更有效。[9]</w:t>
      </w:r>
    </w:p>
    <w:p w:rsidR="00694201" w:rsidRDefault="006A68D5">
      <w:pPr>
        <w:spacing w:line="360" w:lineRule="auto"/>
        <w:ind w:firstLineChars="200" w:firstLine="422"/>
        <w:rPr>
          <w:rFonts w:ascii="宋体" w:eastAsia="宋体" w:hAnsi="宋体" w:cs="宋体"/>
          <w:b/>
          <w:bCs/>
          <w:szCs w:val="21"/>
        </w:rPr>
      </w:pPr>
      <w:bookmarkStart w:id="10" w:name="_Toc6138"/>
      <w:r>
        <w:rPr>
          <w:rFonts w:ascii="宋体" w:eastAsia="宋体" w:hAnsi="宋体" w:cs="宋体" w:hint="eastAsia"/>
          <w:b/>
          <w:bCs/>
          <w:szCs w:val="21"/>
        </w:rPr>
        <w:t>（二）整合资源，加大社区建设</w:t>
      </w:r>
      <w:bookmarkEnd w:id="10"/>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对社区居家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的建设要在依托社区资源的基础上，将医疗和养老资源整合，做好链接，更好的为这一模式服务。同时，需要加强社区医疗基础设施的投入与建设，切实保障该模式在社区可以得到充分的落实和推广，除此之外，还要积极引导社区居家养老模式的一体化建设和信心化管理，构建社区科学养老服务信息推广平台，建立老年人需要的网络平台，为其提供多样化、便捷式的求助途径和服务选择，搭建整体协作的服务平台。[10]这样既可以方便有健康状况的老年人在社区放心养老，也可以整合政府投入，降低不必要的消耗。其次可以合理规划社区医疗养老的场地，我国的社区中有一些建设了医疗机构，有些社区建设了“老年之家”之类的养老机构，但是很少有社区同时具备这两项资源。因此，在</w:t>
      </w:r>
      <w:r>
        <w:rPr>
          <w:rFonts w:ascii="宋体" w:eastAsia="宋体" w:hAnsi="宋体" w:cs="宋体" w:hint="eastAsia"/>
          <w:szCs w:val="21"/>
        </w:rPr>
        <w:lastRenderedPageBreak/>
        <w:t>社区建设时，合理规划医疗养老的场地，划出专门的场地为老年人服务，这不仅是符合社区居家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养结合模式的要求，更是符合政府整合资源的需要。</w:t>
      </w:r>
    </w:p>
    <w:p w:rsidR="00694201" w:rsidRDefault="006A68D5">
      <w:pPr>
        <w:spacing w:line="360" w:lineRule="auto"/>
        <w:ind w:firstLineChars="200" w:firstLine="422"/>
        <w:rPr>
          <w:rFonts w:ascii="宋体" w:eastAsia="宋体" w:hAnsi="宋体" w:cs="宋体"/>
          <w:szCs w:val="21"/>
        </w:rPr>
      </w:pPr>
      <w:bookmarkStart w:id="11" w:name="_Toc24896"/>
      <w:r>
        <w:rPr>
          <w:rFonts w:ascii="宋体" w:eastAsia="宋体" w:hAnsi="宋体" w:cs="宋体" w:hint="eastAsia"/>
          <w:b/>
          <w:bCs/>
          <w:szCs w:val="21"/>
        </w:rPr>
        <w:t>（三）借助“互联网+”有效创新社区居家</w:t>
      </w:r>
      <w:proofErr w:type="gramStart"/>
      <w:r>
        <w:rPr>
          <w:rFonts w:ascii="宋体" w:eastAsia="宋体" w:hAnsi="宋体" w:cs="宋体" w:hint="eastAsia"/>
          <w:b/>
          <w:bCs/>
          <w:szCs w:val="21"/>
        </w:rPr>
        <w:t>医</w:t>
      </w:r>
      <w:proofErr w:type="gramEnd"/>
      <w:r>
        <w:rPr>
          <w:rFonts w:ascii="宋体" w:eastAsia="宋体" w:hAnsi="宋体" w:cs="宋体" w:hint="eastAsia"/>
          <w:b/>
          <w:bCs/>
          <w:szCs w:val="21"/>
        </w:rPr>
        <w:t>养结合信息化模式</w:t>
      </w:r>
      <w:bookmarkEnd w:id="11"/>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推进社区居家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养结合信息化的脚步，必然离不开科学基础的支撑。“互联网+”是当前新兴大热的信息科技，因此，“互联网+”的加入赋予了社区居家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养结合模式现代化的高科技色彩。上海市推出了“云医院”的新兴服务形式，在“互联网+”与“医养结合”的结合中方便老人的健康管理与远程医疗，但送种方式尚未推广。但这一试探确实为社区居家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养结合模式的信息化建设提供了新思路。比如，可以为老年人建立电子档案，记录身体状况，将老年人的个人健康信息及时上传上传到一个统一的信息平台。通过互联网、</w:t>
      </w:r>
      <w:proofErr w:type="gramStart"/>
      <w:r>
        <w:rPr>
          <w:rFonts w:ascii="宋体" w:eastAsia="宋体" w:hAnsi="宋体" w:cs="宋体" w:hint="eastAsia"/>
          <w:szCs w:val="21"/>
        </w:rPr>
        <w:t>云计算</w:t>
      </w:r>
      <w:proofErr w:type="gramEnd"/>
      <w:r>
        <w:rPr>
          <w:rFonts w:ascii="宋体" w:eastAsia="宋体" w:hAnsi="宋体" w:cs="宋体" w:hint="eastAsia"/>
          <w:szCs w:val="21"/>
        </w:rPr>
        <w:t>等基础，建立＂医疗云＂、＂养老云＂和＂社保云＂，实现不同部口之间的信息共享，便于远程诊疗的开展。[11]可以将“互联网+”技术应用于新型身体检测、健康状况分析等，反馈来年人的养老需求等目的，也能够有效的衔接各种资源，避免服务断层和转介混乱。</w:t>
      </w:r>
    </w:p>
    <w:p w:rsidR="00694201" w:rsidRDefault="006A68D5">
      <w:pPr>
        <w:spacing w:line="360" w:lineRule="auto"/>
        <w:ind w:firstLineChars="200" w:firstLine="422"/>
        <w:rPr>
          <w:rFonts w:ascii="宋体" w:eastAsia="宋体" w:hAnsi="宋体" w:cs="宋体"/>
          <w:b/>
          <w:bCs/>
          <w:szCs w:val="21"/>
        </w:rPr>
      </w:pPr>
      <w:bookmarkStart w:id="12" w:name="_Toc24892"/>
      <w:r>
        <w:rPr>
          <w:rFonts w:ascii="宋体" w:eastAsia="宋体" w:hAnsi="宋体" w:cs="宋体" w:hint="eastAsia"/>
          <w:b/>
          <w:bCs/>
          <w:szCs w:val="21"/>
        </w:rPr>
        <w:t>（四）加强专业服务队伍建设，提供服务技能</w:t>
      </w:r>
      <w:bookmarkEnd w:id="12"/>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人力资源的有效整合是加强专业服务队伍建设的重要前提。社区居家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养结合需要多个服务团体，例如医疗机构、居委会等。这些服务团队各自有自己的组成人员，但是他们大多只专注于自己所服务的领域而对其他方便不甚了解。因此，在开展社区居家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养结合模式时，应该在增强他们主要服务的业务领域的服务能力的同时，熟悉专业之外的其他方面，提高综合素质。这样做可以保证对老年人养老需求做出准确判断，并顺畅进行服务转介。</w:t>
      </w:r>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其次，要提高专业服务技能，壮大服务队伍。目前，我国现存的养老机构中的专职服务人员大多只经过短期培训就上岗服务，缺乏专业的服务技能。一方面，可以通过高校、职业学院等支持和引导他们开设医疗护理、康复训练、老年养老服务等专业，培养储备人才。另一方面，要切实改善和落实我国老年医护人员的职业资格认证机制。在国际上，老年服务机构的中间力量是“注册护士”。注册护士是老年服务中的强大后备力量，在注册期内有随行处方权，并且其工作可以不受场所限制。而在我国，注册会计鲜为人知，并且长期以来形成的“重医疗，轻护理”也是使得专业服务人员缺失的原因之一。</w:t>
      </w:r>
    </w:p>
    <w:p w:rsidR="00694201" w:rsidRDefault="006A68D5">
      <w:pPr>
        <w:spacing w:line="360" w:lineRule="auto"/>
        <w:ind w:firstLineChars="200" w:firstLine="482"/>
        <w:jc w:val="center"/>
        <w:rPr>
          <w:rFonts w:ascii="宋体" w:eastAsia="宋体" w:hAnsi="宋体" w:cs="宋体"/>
          <w:b/>
          <w:bCs/>
          <w:sz w:val="24"/>
        </w:rPr>
      </w:pPr>
      <w:bookmarkStart w:id="13" w:name="_Toc12821"/>
      <w:r>
        <w:rPr>
          <w:rFonts w:ascii="宋体" w:eastAsia="宋体" w:hAnsi="宋体" w:cs="宋体" w:hint="eastAsia"/>
          <w:b/>
          <w:bCs/>
          <w:sz w:val="24"/>
        </w:rPr>
        <w:t>结 论</w:t>
      </w:r>
      <w:bookmarkEnd w:id="13"/>
    </w:p>
    <w:p w:rsidR="00694201" w:rsidRDefault="006A68D5">
      <w:pPr>
        <w:spacing w:line="360" w:lineRule="auto"/>
        <w:ind w:firstLineChars="200" w:firstLine="420"/>
        <w:rPr>
          <w:rFonts w:ascii="宋体" w:eastAsia="宋体" w:hAnsi="宋体" w:cs="宋体"/>
          <w:szCs w:val="21"/>
        </w:rPr>
      </w:pPr>
      <w:r>
        <w:rPr>
          <w:rFonts w:ascii="宋体" w:eastAsia="宋体" w:hAnsi="宋体" w:cs="宋体" w:hint="eastAsia"/>
          <w:szCs w:val="21"/>
        </w:rPr>
        <w:t>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养结合养老模式伴随着时代的呼唤，作为养老模式的一股新势力，成为一种</w:t>
      </w:r>
      <w:proofErr w:type="gramStart"/>
      <w:r>
        <w:rPr>
          <w:rFonts w:ascii="宋体" w:eastAsia="宋体" w:hAnsi="宋体" w:cs="宋体" w:hint="eastAsia"/>
          <w:szCs w:val="21"/>
        </w:rPr>
        <w:t>切实</w:t>
      </w:r>
      <w:proofErr w:type="gramEnd"/>
      <w:r>
        <w:rPr>
          <w:rFonts w:ascii="宋体" w:eastAsia="宋体" w:hAnsi="宋体" w:cs="宋体" w:hint="eastAsia"/>
          <w:szCs w:val="21"/>
        </w:rPr>
        <w:t>可推广的养老新选择。除此之外，健康老龄化的提出，对于我国的养老未来提出了新要求，社区居家</w:t>
      </w:r>
      <w:proofErr w:type="gramStart"/>
      <w:r>
        <w:rPr>
          <w:rFonts w:ascii="宋体" w:eastAsia="宋体" w:hAnsi="宋体" w:cs="宋体" w:hint="eastAsia"/>
          <w:szCs w:val="21"/>
        </w:rPr>
        <w:t>医</w:t>
      </w:r>
      <w:proofErr w:type="gramEnd"/>
      <w:r>
        <w:rPr>
          <w:rFonts w:ascii="宋体" w:eastAsia="宋体" w:hAnsi="宋体" w:cs="宋体" w:hint="eastAsia"/>
          <w:szCs w:val="21"/>
        </w:rPr>
        <w:t>养结合养老模式应运而生，助力老年人更有尊严的养老，助</w:t>
      </w:r>
      <w:proofErr w:type="gramStart"/>
      <w:r>
        <w:rPr>
          <w:rFonts w:ascii="宋体" w:eastAsia="宋体" w:hAnsi="宋体" w:cs="宋体" w:hint="eastAsia"/>
          <w:szCs w:val="21"/>
        </w:rPr>
        <w:t>推我</w:t>
      </w:r>
      <w:proofErr w:type="gramEnd"/>
      <w:r>
        <w:rPr>
          <w:rFonts w:ascii="宋体" w:eastAsia="宋体" w:hAnsi="宋体" w:cs="宋体" w:hint="eastAsia"/>
          <w:szCs w:val="21"/>
        </w:rPr>
        <w:t>国的养老服务体系建设，社区居家医养结合养老模式值得期待。虽然我们起步晚，但一直在路上。我相</w:t>
      </w:r>
      <w:r>
        <w:rPr>
          <w:rFonts w:ascii="宋体" w:eastAsia="宋体" w:hAnsi="宋体" w:cs="宋体" w:hint="eastAsia"/>
          <w:szCs w:val="21"/>
        </w:rPr>
        <w:lastRenderedPageBreak/>
        <w:t>信，在国家的大力提倡和各相关部门、主体的支持下，我们的老年人将更活的更有尊严。</w:t>
      </w:r>
    </w:p>
    <w:p w:rsidR="00694201" w:rsidRDefault="00694201">
      <w:pPr>
        <w:widowControl/>
        <w:spacing w:line="300" w:lineRule="auto"/>
        <w:jc w:val="left"/>
        <w:rPr>
          <w:rFonts w:ascii="黑体" w:eastAsia="黑体" w:hAnsi="黑体" w:cs="黑体"/>
          <w:bCs/>
          <w:sz w:val="30"/>
          <w:szCs w:val="30"/>
        </w:rPr>
      </w:pPr>
    </w:p>
    <w:p w:rsidR="00694201" w:rsidRDefault="006A68D5">
      <w:pPr>
        <w:widowControl/>
        <w:spacing w:line="300" w:lineRule="auto"/>
        <w:jc w:val="center"/>
        <w:outlineLvl w:val="0"/>
        <w:rPr>
          <w:rFonts w:asciiTheme="majorEastAsia" w:eastAsiaTheme="majorEastAsia" w:hAnsiTheme="majorEastAsia" w:cstheme="majorEastAsia"/>
          <w:bCs/>
          <w:sz w:val="30"/>
          <w:szCs w:val="30"/>
        </w:rPr>
      </w:pPr>
      <w:bookmarkStart w:id="14" w:name="_Toc24719"/>
      <w:r>
        <w:rPr>
          <w:rFonts w:asciiTheme="majorEastAsia" w:eastAsiaTheme="majorEastAsia" w:hAnsiTheme="majorEastAsia" w:cstheme="majorEastAsia" w:hint="eastAsia"/>
          <w:b/>
          <w:sz w:val="24"/>
        </w:rPr>
        <w:t>参考文献</w:t>
      </w:r>
      <w:bookmarkEnd w:id="14"/>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[1]杜鹏,翟振武,陈卫.中国人口老龄化百年发展趋势[J].究,2005,29(6):90-93</w:t>
      </w:r>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 xml:space="preserve">[2]汪连杰. “银发浪潮”背景下全面推行医养结合养老模式问题研究[J]. 晋阳学刊, </w:t>
      </w:r>
    </w:p>
    <w:p w:rsidR="00694201" w:rsidRDefault="006A68D5">
      <w:pPr>
        <w:spacing w:line="300" w:lineRule="auto"/>
        <w:ind w:firstLineChars="200" w:firstLine="420"/>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2017(4):131-139.</w:t>
      </w:r>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[3]时小喻. 社区居家</w:t>
      </w:r>
      <w:proofErr w:type="gramStart"/>
      <w:r>
        <w:rPr>
          <w:rFonts w:asciiTheme="minorEastAsia" w:hAnsiTheme="minorEastAsia" w:cstheme="minorEastAsia" w:hint="eastAsia"/>
          <w:szCs w:val="21"/>
          <w:shd w:val="clear" w:color="auto" w:fill="FFFFFF"/>
        </w:rPr>
        <w:t>医</w:t>
      </w:r>
      <w:proofErr w:type="gramEnd"/>
      <w:r>
        <w:rPr>
          <w:rFonts w:asciiTheme="minorEastAsia" w:hAnsiTheme="minorEastAsia" w:cstheme="minorEastAsia" w:hint="eastAsia"/>
          <w:szCs w:val="21"/>
          <w:shd w:val="clear" w:color="auto" w:fill="FFFFFF"/>
        </w:rPr>
        <w:t>养结合养老模式研究[D]. 青岛大学, 2016.</w:t>
      </w:r>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[4]</w:t>
      </w:r>
      <w:proofErr w:type="gramStart"/>
      <w:r>
        <w:rPr>
          <w:rFonts w:asciiTheme="minorEastAsia" w:hAnsiTheme="minorEastAsia" w:cstheme="minorEastAsia" w:hint="eastAsia"/>
          <w:szCs w:val="21"/>
          <w:shd w:val="clear" w:color="auto" w:fill="FFFFFF"/>
        </w:rPr>
        <w:t>胡苏云</w:t>
      </w:r>
      <w:proofErr w:type="gramEnd"/>
      <w:r>
        <w:rPr>
          <w:rFonts w:asciiTheme="minorEastAsia" w:hAnsiTheme="minorEastAsia" w:cstheme="minorEastAsia" w:hint="eastAsia"/>
          <w:szCs w:val="21"/>
          <w:shd w:val="clear" w:color="auto" w:fill="FFFFFF"/>
        </w:rPr>
        <w:t xml:space="preserve">. </w:t>
      </w:r>
      <w:proofErr w:type="gramStart"/>
      <w:r>
        <w:rPr>
          <w:rFonts w:asciiTheme="minorEastAsia" w:hAnsiTheme="minorEastAsia" w:cstheme="minorEastAsia" w:hint="eastAsia"/>
          <w:szCs w:val="21"/>
          <w:shd w:val="clear" w:color="auto" w:fill="FFFFFF"/>
        </w:rPr>
        <w:t>医</w:t>
      </w:r>
      <w:proofErr w:type="gramEnd"/>
      <w:r>
        <w:rPr>
          <w:rFonts w:asciiTheme="minorEastAsia" w:hAnsiTheme="minorEastAsia" w:cstheme="minorEastAsia" w:hint="eastAsia"/>
          <w:szCs w:val="21"/>
          <w:shd w:val="clear" w:color="auto" w:fill="FFFFFF"/>
        </w:rPr>
        <w:t>养结合应不拘一格[J]. 中国卫生, 2017(6):58-59.</w:t>
      </w:r>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[5]国家卫生计生委计划生育家庭发展司.关于确定第一批国家级</w:t>
      </w:r>
      <w:proofErr w:type="gramStart"/>
      <w:r>
        <w:rPr>
          <w:rFonts w:asciiTheme="minorEastAsia" w:hAnsiTheme="minorEastAsia" w:cstheme="minorEastAsia" w:hint="eastAsia"/>
          <w:szCs w:val="21"/>
          <w:shd w:val="clear" w:color="auto" w:fill="FFFFFF"/>
        </w:rPr>
        <w:t>医</w:t>
      </w:r>
      <w:proofErr w:type="gramEnd"/>
      <w:r>
        <w:rPr>
          <w:rFonts w:asciiTheme="minorEastAsia" w:hAnsiTheme="minorEastAsia" w:cstheme="minorEastAsia" w:hint="eastAsia"/>
          <w:szCs w:val="21"/>
          <w:shd w:val="clear" w:color="auto" w:fill="FFFFFF"/>
        </w:rPr>
        <w:t>养结合试点单位的通知</w:t>
      </w:r>
    </w:p>
    <w:p w:rsidR="00694201" w:rsidRDefault="006A68D5">
      <w:pPr>
        <w:spacing w:line="300" w:lineRule="auto"/>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w:t>
      </w:r>
      <w:proofErr w:type="gramStart"/>
      <w:r>
        <w:rPr>
          <w:rFonts w:asciiTheme="minorEastAsia" w:hAnsiTheme="minorEastAsia" w:cstheme="minorEastAsia" w:hint="eastAsia"/>
          <w:szCs w:val="21"/>
          <w:shd w:val="clear" w:color="auto" w:fill="FFFFFF"/>
        </w:rPr>
        <w:t>6]http://www.nhfpc.gov.cn/jtfzs/s3581c/201606/66bdf54a086f4678872bb6ed3edf0b9</w:t>
      </w:r>
      <w:proofErr w:type="gramEnd"/>
    </w:p>
    <w:p w:rsidR="00694201" w:rsidRDefault="006A68D5">
      <w:pPr>
        <w:spacing w:line="300" w:lineRule="auto"/>
        <w:ind w:firstLineChars="100" w:firstLine="210"/>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c.shtml.</w:t>
      </w:r>
    </w:p>
    <w:p w:rsidR="00694201" w:rsidRDefault="006A68D5">
      <w:pPr>
        <w:spacing w:line="300" w:lineRule="auto"/>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[7]国家卫生计生委计划生育家庭发展司.关于确定第二批国家级</w:t>
      </w:r>
      <w:proofErr w:type="gramStart"/>
      <w:r>
        <w:rPr>
          <w:rFonts w:asciiTheme="minorEastAsia" w:hAnsiTheme="minorEastAsia" w:cstheme="minorEastAsia" w:hint="eastAsia"/>
          <w:szCs w:val="21"/>
          <w:shd w:val="clear" w:color="auto" w:fill="FFFFFF"/>
        </w:rPr>
        <w:t>医</w:t>
      </w:r>
      <w:proofErr w:type="gramEnd"/>
      <w:r>
        <w:rPr>
          <w:rFonts w:asciiTheme="minorEastAsia" w:hAnsiTheme="minorEastAsia" w:cstheme="minorEastAsia" w:hint="eastAsia"/>
          <w:szCs w:val="21"/>
          <w:shd w:val="clear" w:color="auto" w:fill="FFFFFF"/>
        </w:rPr>
        <w:t>养结合试点单位的通知</w:t>
      </w:r>
    </w:p>
    <w:p w:rsidR="00694201" w:rsidRDefault="006A68D5">
      <w:pPr>
        <w:spacing w:line="300" w:lineRule="auto"/>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[8</w:t>
      </w:r>
      <w:proofErr w:type="gramStart"/>
      <w:r>
        <w:rPr>
          <w:rFonts w:asciiTheme="minorEastAsia" w:hAnsiTheme="minorEastAsia" w:cstheme="minorEastAsia" w:hint="eastAsia"/>
          <w:szCs w:val="21"/>
          <w:shd w:val="clear" w:color="auto" w:fill="FFFFFF"/>
        </w:rPr>
        <w:t>].http://www.nhfpc.gov.cn/jtfzs/s7872/201609/46bad905688f403c8eae4ca56fbb7d84.shtml</w:t>
      </w:r>
      <w:proofErr w:type="gramEnd"/>
      <w:r>
        <w:rPr>
          <w:rFonts w:asciiTheme="minorEastAsia" w:hAnsiTheme="minorEastAsia" w:cstheme="minorEastAsia" w:hint="eastAsia"/>
          <w:szCs w:val="21"/>
          <w:shd w:val="clear" w:color="auto" w:fill="FFFFFF"/>
        </w:rPr>
        <w:t>.</w:t>
      </w:r>
    </w:p>
    <w:p w:rsidR="00694201" w:rsidRDefault="006A68D5">
      <w:pPr>
        <w:spacing w:line="300" w:lineRule="auto"/>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[9]</w:t>
      </w:r>
      <w:proofErr w:type="gramStart"/>
      <w:r>
        <w:rPr>
          <w:rFonts w:asciiTheme="minorEastAsia" w:hAnsiTheme="minorEastAsia" w:cstheme="minorEastAsia" w:hint="eastAsia"/>
          <w:szCs w:val="21"/>
          <w:shd w:val="clear" w:color="auto" w:fill="FFFFFF"/>
        </w:rPr>
        <w:t>睢党臣</w:t>
      </w:r>
      <w:proofErr w:type="gramEnd"/>
      <w:r>
        <w:rPr>
          <w:rFonts w:asciiTheme="minorEastAsia" w:hAnsiTheme="minorEastAsia" w:cstheme="minorEastAsia" w:hint="eastAsia"/>
          <w:szCs w:val="21"/>
          <w:shd w:val="clear" w:color="auto" w:fill="FFFFFF"/>
        </w:rPr>
        <w:t>, 彭庆超. “白发浪潮”下我国医养结合养老服务的发展困境与对策研究[J]. 宁</w:t>
      </w:r>
    </w:p>
    <w:p w:rsidR="00694201" w:rsidRDefault="006A68D5">
      <w:pPr>
        <w:spacing w:line="300" w:lineRule="auto"/>
        <w:ind w:firstLineChars="200" w:firstLine="420"/>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夏社会科学, 2016(4):134-141.</w:t>
      </w:r>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[10]</w:t>
      </w:r>
      <w:proofErr w:type="gramStart"/>
      <w:r>
        <w:rPr>
          <w:rFonts w:asciiTheme="minorEastAsia" w:hAnsiTheme="minorEastAsia" w:cstheme="minorEastAsia" w:hint="eastAsia"/>
          <w:szCs w:val="21"/>
          <w:shd w:val="clear" w:color="auto" w:fill="FFFFFF"/>
        </w:rPr>
        <w:t>程亮</w:t>
      </w:r>
      <w:proofErr w:type="gramEnd"/>
      <w:r>
        <w:rPr>
          <w:rFonts w:asciiTheme="minorEastAsia" w:hAnsiTheme="minorEastAsia" w:cstheme="minorEastAsia" w:hint="eastAsia"/>
          <w:szCs w:val="21"/>
          <w:shd w:val="clear" w:color="auto" w:fill="FFFFFF"/>
        </w:rPr>
        <w:t xml:space="preserve">. </w:t>
      </w:r>
      <w:proofErr w:type="gramStart"/>
      <w:r>
        <w:rPr>
          <w:rFonts w:asciiTheme="minorEastAsia" w:hAnsiTheme="minorEastAsia" w:cstheme="minorEastAsia" w:hint="eastAsia"/>
          <w:szCs w:val="21"/>
          <w:shd w:val="clear" w:color="auto" w:fill="FFFFFF"/>
        </w:rPr>
        <w:t>医</w:t>
      </w:r>
      <w:proofErr w:type="gramEnd"/>
      <w:r>
        <w:rPr>
          <w:rFonts w:asciiTheme="minorEastAsia" w:hAnsiTheme="minorEastAsia" w:cstheme="minorEastAsia" w:hint="eastAsia"/>
          <w:szCs w:val="21"/>
          <w:shd w:val="clear" w:color="auto" w:fill="FFFFFF"/>
        </w:rPr>
        <w:t>养融合:养老机构发展新路径探究[J]. 中州学刊,2015(4):78-82.</w:t>
      </w:r>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[11]杨文杰.中国特色</w:t>
      </w:r>
      <w:proofErr w:type="gramStart"/>
      <w:r>
        <w:rPr>
          <w:rFonts w:asciiTheme="minorEastAsia" w:hAnsiTheme="minorEastAsia" w:cstheme="minorEastAsia" w:hint="eastAsia"/>
          <w:szCs w:val="21"/>
          <w:shd w:val="clear" w:color="auto" w:fill="FFFFFF"/>
        </w:rPr>
        <w:t>医</w:t>
      </w:r>
      <w:proofErr w:type="gramEnd"/>
      <w:r>
        <w:rPr>
          <w:rFonts w:asciiTheme="minorEastAsia" w:hAnsiTheme="minorEastAsia" w:cstheme="minorEastAsia" w:hint="eastAsia"/>
          <w:szCs w:val="21"/>
          <w:shd w:val="clear" w:color="auto" w:fill="FFFFFF"/>
        </w:rPr>
        <w:t>养结合服务模式发展研究[J]. 河北大学学报(哲学社会科学版), 2017(5).</w:t>
      </w:r>
    </w:p>
    <w:p w:rsidR="00694201" w:rsidRDefault="006A68D5">
      <w:pPr>
        <w:spacing w:line="300" w:lineRule="auto"/>
        <w:ind w:left="525" w:hangingChars="250" w:hanging="525"/>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[12]张秀慧.“医养结合”社区居家养老模式研究[D]. 东北财经大学, 2015.</w:t>
      </w:r>
    </w:p>
    <w:p w:rsidR="00694201" w:rsidRDefault="00694201">
      <w:pPr>
        <w:spacing w:line="300" w:lineRule="auto"/>
        <w:ind w:left="525" w:hangingChars="250" w:hanging="525"/>
        <w:rPr>
          <w:rFonts w:asciiTheme="minorEastAsia" w:hAnsiTheme="minorEastAsia" w:cstheme="minorEastAsia"/>
          <w:szCs w:val="21"/>
          <w:shd w:val="clear" w:color="auto" w:fill="FFFFFF"/>
        </w:rPr>
      </w:pPr>
    </w:p>
    <w:p w:rsidR="0004783A" w:rsidRPr="0004783A" w:rsidRDefault="0004783A" w:rsidP="0004783A">
      <w:pPr>
        <w:spacing w:line="380" w:lineRule="atLeast"/>
        <w:jc w:val="center"/>
        <w:rPr>
          <w:rFonts w:ascii="Times New Roman" w:hAnsi="Times New Roman"/>
          <w:kern w:val="0"/>
          <w:szCs w:val="21"/>
        </w:rPr>
      </w:pPr>
      <w:r w:rsidRPr="0004783A">
        <w:rPr>
          <w:rFonts w:ascii="Times New Roman" w:hAnsi="Times New Roman"/>
          <w:bCs/>
          <w:kern w:val="0"/>
          <w:szCs w:val="21"/>
        </w:rPr>
        <w:t xml:space="preserve">Study on the </w:t>
      </w:r>
      <w:r w:rsidRPr="0004783A">
        <w:rPr>
          <w:rFonts w:ascii="Times New Roman" w:hAnsi="Times New Roman" w:hint="eastAsia"/>
          <w:bCs/>
          <w:kern w:val="0"/>
          <w:szCs w:val="21"/>
        </w:rPr>
        <w:t>Home-Based Care System with Medical Treatment for the Aged in C</w:t>
      </w:r>
      <w:r w:rsidRPr="0004783A">
        <w:rPr>
          <w:rFonts w:ascii="Times New Roman" w:hAnsi="Times New Roman"/>
          <w:bCs/>
          <w:kern w:val="0"/>
          <w:szCs w:val="21"/>
        </w:rPr>
        <w:t>ommunity</w:t>
      </w:r>
    </w:p>
    <w:p w:rsidR="0004783A" w:rsidRPr="0004783A" w:rsidRDefault="0004783A" w:rsidP="0004783A">
      <w:pPr>
        <w:autoSpaceDE w:val="0"/>
        <w:autoSpaceDN w:val="0"/>
        <w:adjustRightInd w:val="0"/>
        <w:spacing w:line="380" w:lineRule="atLeast"/>
        <w:jc w:val="center"/>
        <w:rPr>
          <w:rFonts w:ascii="Times New Roman" w:hAnsi="Times New Roman"/>
          <w:kern w:val="0"/>
          <w:szCs w:val="21"/>
        </w:rPr>
      </w:pPr>
      <w:r w:rsidRPr="0004783A">
        <w:rPr>
          <w:rFonts w:ascii="Times New Roman" w:hAnsi="Times New Roman"/>
          <w:kern w:val="0"/>
          <w:szCs w:val="21"/>
        </w:rPr>
        <w:t xml:space="preserve">YAN Wei, LIU </w:t>
      </w:r>
      <w:proofErr w:type="spellStart"/>
      <w:r w:rsidRPr="0004783A">
        <w:rPr>
          <w:rFonts w:ascii="Times New Roman" w:hAnsi="Times New Roman"/>
          <w:kern w:val="0"/>
          <w:szCs w:val="21"/>
        </w:rPr>
        <w:t>Weichao</w:t>
      </w:r>
      <w:proofErr w:type="spellEnd"/>
    </w:p>
    <w:p w:rsidR="0004783A" w:rsidRPr="000A5C74" w:rsidRDefault="0004783A" w:rsidP="0004783A">
      <w:pPr>
        <w:autoSpaceDE w:val="0"/>
        <w:autoSpaceDN w:val="0"/>
        <w:adjustRightInd w:val="0"/>
        <w:spacing w:line="380" w:lineRule="atLeast"/>
        <w:jc w:val="center"/>
        <w:rPr>
          <w:rFonts w:ascii="Times New Roman" w:hAnsi="Times New Roman"/>
          <w:szCs w:val="21"/>
        </w:rPr>
      </w:pPr>
      <w:r w:rsidRPr="000A5C74">
        <w:rPr>
          <w:rFonts w:ascii="Times New Roman" w:hAnsi="宋体"/>
          <w:kern w:val="0"/>
          <w:szCs w:val="21"/>
        </w:rPr>
        <w:t>（</w:t>
      </w:r>
      <w:r w:rsidRPr="0004783A">
        <w:rPr>
          <w:rFonts w:ascii="Times New Roman" w:hAnsi="Times New Roman"/>
          <w:kern w:val="0"/>
          <w:szCs w:val="21"/>
        </w:rPr>
        <w:t>Hebei University, Baoding</w:t>
      </w:r>
      <w:r>
        <w:rPr>
          <w:rFonts w:ascii="Times New Roman" w:hAnsi="Times New Roman" w:hint="eastAsia"/>
          <w:kern w:val="0"/>
          <w:szCs w:val="21"/>
        </w:rPr>
        <w:t xml:space="preserve">, Hebei </w:t>
      </w:r>
      <w:r w:rsidRPr="0004783A">
        <w:rPr>
          <w:rFonts w:ascii="Times New Roman" w:hAnsi="Times New Roman"/>
          <w:kern w:val="0"/>
          <w:szCs w:val="21"/>
        </w:rPr>
        <w:t>071002</w:t>
      </w:r>
      <w:r>
        <w:rPr>
          <w:rFonts w:ascii="Times New Roman" w:hAnsi="Times New Roman"/>
          <w:kern w:val="0"/>
          <w:szCs w:val="21"/>
        </w:rPr>
        <w:t>, China</w:t>
      </w:r>
      <w:r w:rsidRPr="0004783A">
        <w:rPr>
          <w:rFonts w:ascii="Times New Roman" w:hAnsi="Times New Roman"/>
          <w:kern w:val="0"/>
          <w:szCs w:val="21"/>
        </w:rPr>
        <w:t>; Beijing City University, Beijing 100083</w:t>
      </w:r>
      <w:r>
        <w:rPr>
          <w:rFonts w:ascii="Times New Roman" w:hAnsi="Times New Roman"/>
          <w:kern w:val="0"/>
          <w:szCs w:val="21"/>
        </w:rPr>
        <w:t>, China</w:t>
      </w:r>
      <w:r w:rsidRPr="000A5C74">
        <w:rPr>
          <w:rFonts w:ascii="Times New Roman" w:hAnsi="宋体"/>
          <w:kern w:val="0"/>
          <w:szCs w:val="21"/>
        </w:rPr>
        <w:t>）</w:t>
      </w:r>
    </w:p>
    <w:p w:rsidR="0004783A" w:rsidRPr="000A5C74" w:rsidRDefault="0004783A" w:rsidP="0004783A">
      <w:pPr>
        <w:spacing w:line="380" w:lineRule="atLeast"/>
        <w:ind w:firstLineChars="196" w:firstLine="413"/>
        <w:jc w:val="center"/>
        <w:rPr>
          <w:rFonts w:ascii="Times New Roman" w:hAnsi="Times New Roman"/>
          <w:b/>
          <w:szCs w:val="21"/>
        </w:rPr>
      </w:pPr>
    </w:p>
    <w:p w:rsidR="0004783A" w:rsidRPr="000A5C74" w:rsidRDefault="0004783A" w:rsidP="0004783A">
      <w:pPr>
        <w:spacing w:line="380" w:lineRule="atLeast"/>
        <w:ind w:firstLineChars="196" w:firstLine="413"/>
        <w:rPr>
          <w:rFonts w:ascii="Times New Roman" w:hAnsi="Times New Roman"/>
          <w:b/>
          <w:szCs w:val="21"/>
        </w:rPr>
      </w:pPr>
      <w:r w:rsidRPr="000A5C74">
        <w:rPr>
          <w:rFonts w:ascii="Times New Roman" w:hAnsi="Times New Roman"/>
          <w:b/>
          <w:bCs/>
          <w:szCs w:val="21"/>
        </w:rPr>
        <w:t>Abstract</w:t>
      </w:r>
      <w:r w:rsidRPr="000A5C74">
        <w:rPr>
          <w:rFonts w:ascii="Times New Roman" w:hAnsi="宋体"/>
          <w:szCs w:val="21"/>
        </w:rPr>
        <w:t>：</w:t>
      </w:r>
      <w:r w:rsidRPr="0004783A">
        <w:rPr>
          <w:rFonts w:ascii="Times New Roman" w:hAnsi="Times New Roman" w:hint="eastAsia"/>
          <w:kern w:val="0"/>
          <w:szCs w:val="21"/>
        </w:rPr>
        <w:t>U</w:t>
      </w:r>
      <w:r w:rsidRPr="0004783A">
        <w:rPr>
          <w:rFonts w:ascii="Times New Roman" w:hAnsi="Times New Roman"/>
          <w:kern w:val="0"/>
          <w:szCs w:val="21"/>
        </w:rPr>
        <w:t>nder the background of healthy aging,</w:t>
      </w:r>
      <w:r w:rsidRPr="0004783A">
        <w:rPr>
          <w:rFonts w:ascii="Times New Roman" w:hAnsi="Times New Roman" w:hint="eastAsia"/>
          <w:kern w:val="0"/>
          <w:szCs w:val="21"/>
        </w:rPr>
        <w:t xml:space="preserve"> </w:t>
      </w:r>
      <w:r w:rsidRPr="0004783A">
        <w:rPr>
          <w:rFonts w:ascii="Times New Roman" w:hAnsi="Times New Roman"/>
          <w:kern w:val="0"/>
          <w:szCs w:val="21"/>
        </w:rPr>
        <w:t xml:space="preserve">how to improve the quality of life for the elderly and how to </w:t>
      </w:r>
      <w:r w:rsidRPr="0004783A">
        <w:rPr>
          <w:rFonts w:ascii="Times New Roman" w:hAnsi="Times New Roman" w:hint="eastAsia"/>
          <w:kern w:val="0"/>
          <w:szCs w:val="21"/>
        </w:rPr>
        <w:t xml:space="preserve">provide a </w:t>
      </w:r>
      <w:proofErr w:type="gramStart"/>
      <w:r w:rsidRPr="0004783A">
        <w:rPr>
          <w:rFonts w:ascii="Times New Roman" w:hAnsi="Times New Roman" w:hint="eastAsia"/>
          <w:kern w:val="0"/>
          <w:szCs w:val="21"/>
        </w:rPr>
        <w:t xml:space="preserve">better </w:t>
      </w:r>
      <w:r w:rsidRPr="0004783A">
        <w:rPr>
          <w:rFonts w:ascii="Times New Roman" w:hAnsi="Times New Roman"/>
          <w:kern w:val="0"/>
          <w:szCs w:val="21"/>
        </w:rPr>
        <w:t>quality</w:t>
      </w:r>
      <w:proofErr w:type="gramEnd"/>
      <w:r w:rsidRPr="0004783A">
        <w:rPr>
          <w:rFonts w:ascii="Times New Roman" w:hAnsi="Times New Roman" w:hint="eastAsia"/>
          <w:kern w:val="0"/>
          <w:szCs w:val="21"/>
        </w:rPr>
        <w:t xml:space="preserve"> care </w:t>
      </w:r>
      <w:r w:rsidRPr="0004783A">
        <w:rPr>
          <w:rFonts w:ascii="Times New Roman" w:hAnsi="Times New Roman"/>
          <w:kern w:val="0"/>
          <w:szCs w:val="21"/>
        </w:rPr>
        <w:t>service</w:t>
      </w:r>
      <w:r w:rsidRPr="0004783A">
        <w:rPr>
          <w:rFonts w:ascii="Times New Roman" w:hAnsi="Times New Roman" w:hint="eastAsia"/>
          <w:kern w:val="0"/>
          <w:szCs w:val="21"/>
        </w:rPr>
        <w:t xml:space="preserve"> for them are heatedly discussed by</w:t>
      </w:r>
      <w:r w:rsidRPr="0004783A">
        <w:rPr>
          <w:rFonts w:ascii="Times New Roman" w:hAnsi="Times New Roman"/>
          <w:kern w:val="0"/>
          <w:szCs w:val="21"/>
        </w:rPr>
        <w:t xml:space="preserve"> </w:t>
      </w:r>
      <w:r w:rsidRPr="0004783A">
        <w:rPr>
          <w:rFonts w:ascii="Times New Roman" w:hAnsi="Times New Roman" w:hint="eastAsia"/>
          <w:kern w:val="0"/>
          <w:szCs w:val="21"/>
        </w:rPr>
        <w:t xml:space="preserve">the </w:t>
      </w:r>
      <w:r w:rsidRPr="0004783A">
        <w:rPr>
          <w:rFonts w:ascii="Times New Roman" w:hAnsi="Times New Roman"/>
          <w:kern w:val="0"/>
          <w:szCs w:val="21"/>
        </w:rPr>
        <w:t>public.</w:t>
      </w:r>
      <w:r w:rsidRPr="0004783A">
        <w:rPr>
          <w:rFonts w:ascii="Times New Roman" w:hAnsi="Times New Roman" w:hint="eastAsia"/>
          <w:kern w:val="0"/>
          <w:szCs w:val="21"/>
        </w:rPr>
        <w:t xml:space="preserve"> </w:t>
      </w:r>
      <w:r w:rsidRPr="0004783A">
        <w:rPr>
          <w:rFonts w:ascii="Times New Roman" w:hAnsi="Times New Roman"/>
          <w:kern w:val="0"/>
          <w:szCs w:val="21"/>
        </w:rPr>
        <w:t xml:space="preserve">In recent years, the mode of "combination of medical </w:t>
      </w:r>
      <w:r w:rsidRPr="0004783A">
        <w:rPr>
          <w:rFonts w:ascii="Times New Roman" w:hAnsi="Times New Roman" w:hint="eastAsia"/>
          <w:kern w:val="0"/>
          <w:szCs w:val="21"/>
        </w:rPr>
        <w:t>treatment and care</w:t>
      </w:r>
      <w:r w:rsidRPr="0004783A">
        <w:rPr>
          <w:rFonts w:ascii="Times New Roman" w:hAnsi="Times New Roman"/>
          <w:kern w:val="0"/>
          <w:szCs w:val="21"/>
        </w:rPr>
        <w:t>" has become a new bellwether for the elderly.</w:t>
      </w:r>
      <w:r w:rsidRPr="0004783A">
        <w:rPr>
          <w:rFonts w:ascii="Times New Roman" w:hAnsi="Times New Roman" w:hint="eastAsia"/>
          <w:kern w:val="0"/>
          <w:szCs w:val="21"/>
        </w:rPr>
        <w:t xml:space="preserve"> </w:t>
      </w:r>
      <w:r w:rsidRPr="0004783A">
        <w:rPr>
          <w:rFonts w:ascii="Times New Roman" w:hAnsi="Times New Roman"/>
          <w:kern w:val="0"/>
          <w:szCs w:val="21"/>
        </w:rPr>
        <w:t xml:space="preserve">In the process of "the combination of medical </w:t>
      </w:r>
      <w:r w:rsidRPr="0004783A">
        <w:rPr>
          <w:rFonts w:ascii="Times New Roman" w:hAnsi="Times New Roman" w:hint="eastAsia"/>
          <w:kern w:val="0"/>
          <w:szCs w:val="21"/>
        </w:rPr>
        <w:t xml:space="preserve">treatment and </w:t>
      </w:r>
      <w:r w:rsidRPr="0004783A">
        <w:rPr>
          <w:rFonts w:ascii="Times New Roman" w:hAnsi="Times New Roman"/>
          <w:kern w:val="0"/>
          <w:szCs w:val="21"/>
        </w:rPr>
        <w:t>care", a large proportion of the elderly ha</w:t>
      </w:r>
      <w:r w:rsidRPr="0004783A">
        <w:rPr>
          <w:rFonts w:ascii="Times New Roman" w:hAnsi="Times New Roman" w:hint="eastAsia"/>
          <w:kern w:val="0"/>
          <w:szCs w:val="21"/>
        </w:rPr>
        <w:t>s</w:t>
      </w:r>
      <w:r w:rsidRPr="0004783A">
        <w:rPr>
          <w:rFonts w:ascii="Times New Roman" w:hAnsi="Times New Roman"/>
          <w:kern w:val="0"/>
          <w:szCs w:val="21"/>
        </w:rPr>
        <w:t xml:space="preserve"> chosen the mode of home-based care</w:t>
      </w:r>
      <w:r w:rsidRPr="0004783A">
        <w:rPr>
          <w:rFonts w:ascii="Times New Roman" w:hAnsi="Times New Roman" w:hint="eastAsia"/>
          <w:kern w:val="0"/>
          <w:szCs w:val="21"/>
        </w:rPr>
        <w:t xml:space="preserve"> in </w:t>
      </w:r>
      <w:r>
        <w:rPr>
          <w:rFonts w:ascii="Times New Roman" w:hAnsi="Times New Roman"/>
          <w:kern w:val="0"/>
          <w:szCs w:val="21"/>
        </w:rPr>
        <w:t>community</w:t>
      </w:r>
      <w:r w:rsidRPr="0004783A">
        <w:rPr>
          <w:rFonts w:ascii="Times New Roman" w:hAnsi="Times New Roman"/>
          <w:kern w:val="0"/>
          <w:szCs w:val="21"/>
        </w:rPr>
        <w:t>.</w:t>
      </w:r>
      <w:r w:rsidRPr="0004783A">
        <w:rPr>
          <w:rFonts w:ascii="Times New Roman" w:hAnsi="Times New Roman" w:hint="eastAsia"/>
          <w:kern w:val="0"/>
          <w:szCs w:val="21"/>
        </w:rPr>
        <w:t xml:space="preserve"> </w:t>
      </w:r>
      <w:r w:rsidRPr="0004783A">
        <w:rPr>
          <w:rFonts w:ascii="Times New Roman" w:hAnsi="Times New Roman"/>
          <w:kern w:val="0"/>
          <w:szCs w:val="21"/>
        </w:rPr>
        <w:t xml:space="preserve">This article </w:t>
      </w:r>
      <w:r w:rsidRPr="0004783A">
        <w:rPr>
          <w:rFonts w:ascii="Times New Roman" w:hAnsi="Times New Roman" w:hint="eastAsia"/>
          <w:kern w:val="0"/>
          <w:szCs w:val="21"/>
        </w:rPr>
        <w:t xml:space="preserve">identifies the </w:t>
      </w:r>
      <w:r w:rsidRPr="0004783A">
        <w:rPr>
          <w:rFonts w:ascii="Times New Roman" w:hAnsi="Times New Roman"/>
          <w:kern w:val="0"/>
          <w:szCs w:val="21"/>
        </w:rPr>
        <w:t xml:space="preserve">concept of </w:t>
      </w:r>
      <w:r w:rsidRPr="0004783A">
        <w:rPr>
          <w:rFonts w:ascii="Times New Roman" w:hAnsi="Times New Roman" w:hint="eastAsia"/>
          <w:kern w:val="0"/>
          <w:szCs w:val="21"/>
        </w:rPr>
        <w:t>the home-based care system with medical treatment</w:t>
      </w:r>
      <w:r w:rsidRPr="0004783A">
        <w:rPr>
          <w:rFonts w:ascii="Times New Roman" w:hAnsi="Times New Roman"/>
          <w:kern w:val="0"/>
          <w:szCs w:val="21"/>
        </w:rPr>
        <w:t xml:space="preserve"> and analys</w:t>
      </w:r>
      <w:r w:rsidRPr="0004783A">
        <w:rPr>
          <w:rFonts w:ascii="Times New Roman" w:hAnsi="Times New Roman" w:hint="eastAsia"/>
          <w:kern w:val="0"/>
          <w:szCs w:val="21"/>
        </w:rPr>
        <w:t>es</w:t>
      </w:r>
      <w:r w:rsidRPr="0004783A">
        <w:rPr>
          <w:rFonts w:ascii="Times New Roman" w:hAnsi="Times New Roman"/>
          <w:kern w:val="0"/>
          <w:szCs w:val="21"/>
        </w:rPr>
        <w:t xml:space="preserve"> </w:t>
      </w:r>
      <w:r w:rsidRPr="0004783A">
        <w:rPr>
          <w:rFonts w:ascii="Times New Roman" w:hAnsi="Times New Roman" w:hint="eastAsia"/>
          <w:kern w:val="0"/>
          <w:szCs w:val="21"/>
        </w:rPr>
        <w:t>its</w:t>
      </w:r>
      <w:r w:rsidRPr="0004783A">
        <w:rPr>
          <w:rFonts w:ascii="Times New Roman" w:hAnsi="Times New Roman"/>
          <w:kern w:val="0"/>
          <w:szCs w:val="21"/>
        </w:rPr>
        <w:t xml:space="preserve"> feasibility. At the same time, </w:t>
      </w:r>
      <w:r w:rsidRPr="0004783A">
        <w:rPr>
          <w:rFonts w:ascii="Times New Roman" w:hAnsi="Times New Roman" w:hint="eastAsia"/>
          <w:kern w:val="0"/>
          <w:szCs w:val="21"/>
        </w:rPr>
        <w:t>the concrete thought of establishment and improvement is proposed for solving the problems of top design and informatization, t</w:t>
      </w:r>
      <w:r w:rsidRPr="0004783A">
        <w:rPr>
          <w:rFonts w:ascii="Times New Roman" w:hAnsi="Times New Roman"/>
          <w:kern w:val="0"/>
          <w:szCs w:val="21"/>
        </w:rPr>
        <w:t xml:space="preserve">hrough </w:t>
      </w:r>
      <w:r w:rsidRPr="0004783A">
        <w:rPr>
          <w:rFonts w:ascii="Times New Roman" w:hAnsi="Times New Roman" w:hint="eastAsia"/>
          <w:kern w:val="0"/>
          <w:szCs w:val="21"/>
        </w:rPr>
        <w:t xml:space="preserve">which the </w:t>
      </w:r>
      <w:r w:rsidRPr="0004783A">
        <w:rPr>
          <w:rFonts w:ascii="Times New Roman" w:hAnsi="Times New Roman"/>
          <w:kern w:val="0"/>
          <w:szCs w:val="21"/>
        </w:rPr>
        <w:t xml:space="preserve">integration of </w:t>
      </w:r>
      <w:r w:rsidRPr="0004783A">
        <w:rPr>
          <w:rFonts w:ascii="Times New Roman" w:hAnsi="Times New Roman" w:hint="eastAsia"/>
          <w:kern w:val="0"/>
          <w:szCs w:val="21"/>
        </w:rPr>
        <w:t>aging care</w:t>
      </w:r>
      <w:r w:rsidRPr="0004783A">
        <w:rPr>
          <w:rFonts w:ascii="Times New Roman" w:hAnsi="Times New Roman"/>
          <w:kern w:val="0"/>
          <w:szCs w:val="21"/>
        </w:rPr>
        <w:t xml:space="preserve"> and </w:t>
      </w:r>
      <w:r w:rsidRPr="0004783A">
        <w:rPr>
          <w:rFonts w:ascii="Times New Roman" w:hAnsi="Times New Roman" w:hint="eastAsia"/>
          <w:kern w:val="0"/>
          <w:szCs w:val="21"/>
        </w:rPr>
        <w:t xml:space="preserve">medical </w:t>
      </w:r>
      <w:r w:rsidRPr="0004783A">
        <w:rPr>
          <w:rFonts w:ascii="Times New Roman" w:hAnsi="Times New Roman"/>
          <w:kern w:val="0"/>
          <w:szCs w:val="21"/>
        </w:rPr>
        <w:t xml:space="preserve">resources </w:t>
      </w:r>
      <w:r w:rsidRPr="0004783A">
        <w:rPr>
          <w:rFonts w:ascii="Times New Roman" w:hAnsi="Times New Roman" w:hint="eastAsia"/>
          <w:kern w:val="0"/>
          <w:szCs w:val="21"/>
        </w:rPr>
        <w:t xml:space="preserve">are achieved, and better </w:t>
      </w:r>
      <w:r w:rsidRPr="0004783A">
        <w:rPr>
          <w:rFonts w:ascii="Times New Roman" w:hAnsi="Times New Roman"/>
          <w:kern w:val="0"/>
          <w:szCs w:val="21"/>
        </w:rPr>
        <w:t>serv</w:t>
      </w:r>
      <w:r w:rsidRPr="0004783A">
        <w:rPr>
          <w:rFonts w:ascii="Times New Roman" w:hAnsi="Times New Roman" w:hint="eastAsia"/>
          <w:kern w:val="0"/>
          <w:szCs w:val="21"/>
        </w:rPr>
        <w:t xml:space="preserve">ice is provided to the </w:t>
      </w:r>
      <w:r w:rsidRPr="0004783A">
        <w:rPr>
          <w:rFonts w:ascii="Times New Roman" w:hAnsi="Times New Roman" w:hint="eastAsia"/>
          <w:kern w:val="0"/>
          <w:szCs w:val="21"/>
        </w:rPr>
        <w:lastRenderedPageBreak/>
        <w:t xml:space="preserve">elderly. It helps them to enjoy </w:t>
      </w:r>
      <w:r w:rsidRPr="0004783A">
        <w:rPr>
          <w:rFonts w:ascii="Times New Roman" w:hAnsi="Times New Roman"/>
          <w:kern w:val="0"/>
          <w:szCs w:val="21"/>
        </w:rPr>
        <w:t>their</w:t>
      </w:r>
      <w:r w:rsidRPr="0004783A">
        <w:rPr>
          <w:rFonts w:ascii="Times New Roman" w:hAnsi="Times New Roman" w:hint="eastAsia"/>
          <w:kern w:val="0"/>
          <w:szCs w:val="21"/>
        </w:rPr>
        <w:t xml:space="preserve"> remaining years with dignity.</w:t>
      </w:r>
    </w:p>
    <w:p w:rsidR="0004783A" w:rsidRDefault="0004783A" w:rsidP="0004783A">
      <w:pPr>
        <w:spacing w:line="380" w:lineRule="atLeast"/>
        <w:rPr>
          <w:rFonts w:ascii="Times New Roman" w:hAnsi="Times New Roman"/>
          <w:kern w:val="0"/>
          <w:szCs w:val="21"/>
        </w:rPr>
      </w:pPr>
      <w:r w:rsidRPr="000A5C74">
        <w:rPr>
          <w:rFonts w:ascii="Times New Roman" w:hAnsi="Times New Roman"/>
          <w:b/>
          <w:bCs/>
          <w:szCs w:val="21"/>
        </w:rPr>
        <w:t>Key words</w:t>
      </w:r>
      <w:r w:rsidRPr="000A5C74">
        <w:rPr>
          <w:rFonts w:ascii="Times New Roman" w:hAnsi="宋体"/>
          <w:b/>
          <w:bCs/>
          <w:szCs w:val="21"/>
        </w:rPr>
        <w:t>：</w:t>
      </w:r>
      <w:r w:rsidRPr="0004783A">
        <w:rPr>
          <w:rFonts w:ascii="Times New Roman" w:hAnsi="Times New Roman"/>
          <w:kern w:val="0"/>
          <w:szCs w:val="21"/>
        </w:rPr>
        <w:t>home-based care</w:t>
      </w:r>
      <w:r w:rsidRPr="0004783A">
        <w:rPr>
          <w:rFonts w:ascii="Times New Roman" w:hAnsi="Times New Roman" w:hint="eastAsia"/>
          <w:kern w:val="0"/>
          <w:szCs w:val="21"/>
        </w:rPr>
        <w:t xml:space="preserve"> in </w:t>
      </w:r>
      <w:r w:rsidRPr="0004783A">
        <w:rPr>
          <w:rFonts w:ascii="Times New Roman" w:hAnsi="Times New Roman"/>
          <w:kern w:val="0"/>
          <w:szCs w:val="21"/>
        </w:rPr>
        <w:t>community</w:t>
      </w:r>
      <w:r w:rsidRPr="0004783A">
        <w:rPr>
          <w:rFonts w:ascii="Times New Roman" w:hAnsi="Times New Roman" w:hint="eastAsia"/>
          <w:kern w:val="0"/>
          <w:szCs w:val="21"/>
        </w:rPr>
        <w:t xml:space="preserve">; aging </w:t>
      </w:r>
      <w:r w:rsidRPr="0004783A">
        <w:rPr>
          <w:rFonts w:ascii="Times New Roman" w:hAnsi="Times New Roman"/>
          <w:kern w:val="0"/>
          <w:szCs w:val="21"/>
        </w:rPr>
        <w:t>care</w:t>
      </w:r>
      <w:r w:rsidRPr="0004783A">
        <w:rPr>
          <w:rFonts w:ascii="Times New Roman" w:hAnsi="Times New Roman" w:hint="eastAsia"/>
          <w:kern w:val="0"/>
          <w:szCs w:val="21"/>
        </w:rPr>
        <w:t xml:space="preserve"> with </w:t>
      </w:r>
      <w:r w:rsidRPr="0004783A">
        <w:rPr>
          <w:rFonts w:ascii="Times New Roman" w:hAnsi="Times New Roman"/>
          <w:kern w:val="0"/>
          <w:szCs w:val="21"/>
        </w:rPr>
        <w:t xml:space="preserve">medical </w:t>
      </w:r>
      <w:r w:rsidRPr="0004783A">
        <w:rPr>
          <w:rFonts w:ascii="Times New Roman" w:hAnsi="Times New Roman" w:hint="eastAsia"/>
          <w:kern w:val="0"/>
          <w:szCs w:val="21"/>
        </w:rPr>
        <w:t>treatment; healthy aging</w:t>
      </w:r>
    </w:p>
    <w:p w:rsidR="00B44EEC" w:rsidRDefault="00B44EEC" w:rsidP="0004783A">
      <w:pPr>
        <w:spacing w:line="380" w:lineRule="atLeast"/>
        <w:rPr>
          <w:rFonts w:asciiTheme="minorEastAsia" w:hAnsiTheme="minorEastAsia" w:cstheme="minorEastAsia" w:hint="eastAsia"/>
          <w:szCs w:val="21"/>
        </w:rPr>
      </w:pPr>
      <w:r>
        <w:rPr>
          <w:rFonts w:asciiTheme="minorEastAsia" w:hAnsiTheme="minorEastAsia" w:cstheme="minorEastAsia" w:hint="eastAsia"/>
          <w:szCs w:val="21"/>
        </w:rPr>
        <w:t>（责任编辑：侯净雯）</w:t>
      </w:r>
      <w:bookmarkStart w:id="15" w:name="_GoBack"/>
      <w:bookmarkEnd w:id="15"/>
    </w:p>
    <w:sectPr w:rsidR="00B44EEC">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202" w:rsidRDefault="00277202">
      <w:r>
        <w:separator/>
      </w:r>
    </w:p>
  </w:endnote>
  <w:endnote w:type="continuationSeparator" w:id="0">
    <w:p w:rsidR="00277202" w:rsidRDefault="0027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201" w:rsidRDefault="00277202">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4201" w:rsidRDefault="006A68D5">
                <w:pPr>
                  <w:pStyle w:val="a3"/>
                </w:pPr>
                <w:r>
                  <w:rPr>
                    <w:rFonts w:hint="eastAsia"/>
                  </w:rPr>
                  <w:fldChar w:fldCharType="begin"/>
                </w:r>
                <w:r>
                  <w:rPr>
                    <w:rFonts w:hint="eastAsia"/>
                  </w:rPr>
                  <w:instrText xml:space="preserve"> PAGE  \* MERGEFORMAT </w:instrText>
                </w:r>
                <w:r>
                  <w:rPr>
                    <w:rFonts w:hint="eastAsia"/>
                  </w:rPr>
                  <w:fldChar w:fldCharType="separate"/>
                </w:r>
                <w:r w:rsidR="0004783A">
                  <w:rPr>
                    <w:noProof/>
                  </w:rPr>
                  <w:t>7</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202" w:rsidRDefault="00277202">
      <w:r>
        <w:separator/>
      </w:r>
    </w:p>
  </w:footnote>
  <w:footnote w:type="continuationSeparator" w:id="0">
    <w:p w:rsidR="00277202" w:rsidRDefault="00277202">
      <w:r>
        <w:continuationSeparator/>
      </w:r>
    </w:p>
  </w:footnote>
  <w:footnote w:id="1">
    <w:p w:rsidR="00694201" w:rsidRDefault="006A68D5">
      <w:pPr>
        <w:pStyle w:val="a5"/>
        <w:rPr>
          <w:rFonts w:asciiTheme="minorEastAsia" w:hAnsiTheme="minorEastAsia" w:cstheme="minorEastAsia"/>
        </w:rPr>
      </w:pPr>
      <w:r>
        <w:rPr>
          <w:rStyle w:val="a8"/>
        </w:rPr>
        <w:footnoteRef/>
      </w:r>
      <w:r>
        <w:t xml:space="preserve"> </w:t>
      </w:r>
      <w:r>
        <w:rPr>
          <w:rFonts w:asciiTheme="minorEastAsia" w:hAnsiTheme="minorEastAsia" w:cstheme="minorEastAsia" w:hint="eastAsia"/>
        </w:rPr>
        <w:t>收稿日期：2018年4月20日</w:t>
      </w:r>
    </w:p>
    <w:p w:rsidR="00694201" w:rsidRDefault="006A68D5">
      <w:pPr>
        <w:pStyle w:val="a5"/>
        <w:ind w:firstLineChars="100" w:firstLine="180"/>
      </w:pPr>
      <w:r>
        <w:rPr>
          <w:rFonts w:hint="eastAsia"/>
        </w:rPr>
        <w:t>作者简介：闫薇（</w:t>
      </w:r>
      <w:r>
        <w:rPr>
          <w:rFonts w:hint="eastAsia"/>
        </w:rPr>
        <w:t>1994-</w:t>
      </w:r>
      <w:r>
        <w:rPr>
          <w:rFonts w:hint="eastAsia"/>
        </w:rPr>
        <w:t>），女（汉），河北石家庄人，硕士在读，研究方向：劳动与社会保障</w:t>
      </w:r>
    </w:p>
    <w:p w:rsidR="00694201" w:rsidRDefault="006A68D5">
      <w:pPr>
        <w:pStyle w:val="a5"/>
        <w:ind w:firstLineChars="600" w:firstLine="1080"/>
      </w:pPr>
      <w:r>
        <w:rPr>
          <w:rFonts w:hint="eastAsia"/>
        </w:rPr>
        <w:t>刘伟超（</w:t>
      </w:r>
      <w:r>
        <w:rPr>
          <w:rFonts w:hint="eastAsia"/>
        </w:rPr>
        <w:t>1992-</w:t>
      </w:r>
      <w:r>
        <w:rPr>
          <w:rFonts w:hint="eastAsia"/>
        </w:rPr>
        <w:t>），男，河北廊坊人，硕士在读，研究方向：社会管理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6CC8"/>
    <w:rsid w:val="0004783A"/>
    <w:rsid w:val="00277202"/>
    <w:rsid w:val="002B6CC8"/>
    <w:rsid w:val="00302B57"/>
    <w:rsid w:val="004768E3"/>
    <w:rsid w:val="00560FD3"/>
    <w:rsid w:val="00576567"/>
    <w:rsid w:val="00595F8D"/>
    <w:rsid w:val="00694201"/>
    <w:rsid w:val="006A68D5"/>
    <w:rsid w:val="00A13A2F"/>
    <w:rsid w:val="00A17A92"/>
    <w:rsid w:val="00AB7194"/>
    <w:rsid w:val="00B44EEC"/>
    <w:rsid w:val="00DC4625"/>
    <w:rsid w:val="00E40793"/>
    <w:rsid w:val="00EF2C21"/>
    <w:rsid w:val="00FE25B2"/>
    <w:rsid w:val="025B764C"/>
    <w:rsid w:val="06192CA2"/>
    <w:rsid w:val="06727AF1"/>
    <w:rsid w:val="07A45F18"/>
    <w:rsid w:val="08105F56"/>
    <w:rsid w:val="0A162965"/>
    <w:rsid w:val="0AEA1FDE"/>
    <w:rsid w:val="0B466352"/>
    <w:rsid w:val="0B8573A5"/>
    <w:rsid w:val="0BF51150"/>
    <w:rsid w:val="0C3A6D8B"/>
    <w:rsid w:val="0EC877EA"/>
    <w:rsid w:val="0F8A7E05"/>
    <w:rsid w:val="10D602EE"/>
    <w:rsid w:val="139D261A"/>
    <w:rsid w:val="14097A25"/>
    <w:rsid w:val="160C5F6A"/>
    <w:rsid w:val="164037BC"/>
    <w:rsid w:val="16533B4A"/>
    <w:rsid w:val="169B787D"/>
    <w:rsid w:val="17F03C9A"/>
    <w:rsid w:val="18773227"/>
    <w:rsid w:val="1A0A52DD"/>
    <w:rsid w:val="1B0D518F"/>
    <w:rsid w:val="1C2050A5"/>
    <w:rsid w:val="1C5D0E20"/>
    <w:rsid w:val="1E280BE3"/>
    <w:rsid w:val="1F1D2EE0"/>
    <w:rsid w:val="1FF76449"/>
    <w:rsid w:val="209724BE"/>
    <w:rsid w:val="20C633E4"/>
    <w:rsid w:val="23124594"/>
    <w:rsid w:val="27CB6D93"/>
    <w:rsid w:val="281047A9"/>
    <w:rsid w:val="2A6271B2"/>
    <w:rsid w:val="2BD40FA8"/>
    <w:rsid w:val="2C0454ED"/>
    <w:rsid w:val="2D146FEC"/>
    <w:rsid w:val="2D63765D"/>
    <w:rsid w:val="2E271729"/>
    <w:rsid w:val="2F9E7BA5"/>
    <w:rsid w:val="3008520D"/>
    <w:rsid w:val="30351B5E"/>
    <w:rsid w:val="33C42F4B"/>
    <w:rsid w:val="36FB5777"/>
    <w:rsid w:val="374A2ED7"/>
    <w:rsid w:val="37D6181E"/>
    <w:rsid w:val="382E4ABE"/>
    <w:rsid w:val="3924357D"/>
    <w:rsid w:val="39424416"/>
    <w:rsid w:val="3A5A6016"/>
    <w:rsid w:val="3B5E7456"/>
    <w:rsid w:val="3C7612E1"/>
    <w:rsid w:val="3CBE104C"/>
    <w:rsid w:val="3F3130C7"/>
    <w:rsid w:val="4129486B"/>
    <w:rsid w:val="41915DAF"/>
    <w:rsid w:val="41F32773"/>
    <w:rsid w:val="423B2D19"/>
    <w:rsid w:val="44EE28B7"/>
    <w:rsid w:val="450449A8"/>
    <w:rsid w:val="4508340D"/>
    <w:rsid w:val="457A47A8"/>
    <w:rsid w:val="46AE7D27"/>
    <w:rsid w:val="494F7FF2"/>
    <w:rsid w:val="4BC17F6F"/>
    <w:rsid w:val="4BDC0C85"/>
    <w:rsid w:val="4D743C6B"/>
    <w:rsid w:val="4D8C743B"/>
    <w:rsid w:val="4ED871D1"/>
    <w:rsid w:val="4EFB6A43"/>
    <w:rsid w:val="4EFC0EA0"/>
    <w:rsid w:val="4FD75F18"/>
    <w:rsid w:val="4FF842E7"/>
    <w:rsid w:val="506E18C0"/>
    <w:rsid w:val="51067302"/>
    <w:rsid w:val="525A7799"/>
    <w:rsid w:val="52CE7F7D"/>
    <w:rsid w:val="53B354A6"/>
    <w:rsid w:val="55407B1E"/>
    <w:rsid w:val="5608328C"/>
    <w:rsid w:val="560920C1"/>
    <w:rsid w:val="56A2735A"/>
    <w:rsid w:val="57195E08"/>
    <w:rsid w:val="577278F3"/>
    <w:rsid w:val="57E15EDD"/>
    <w:rsid w:val="587F22FB"/>
    <w:rsid w:val="58BE3BA9"/>
    <w:rsid w:val="5AA85742"/>
    <w:rsid w:val="5ACA56E1"/>
    <w:rsid w:val="5BEA5031"/>
    <w:rsid w:val="5BF2374D"/>
    <w:rsid w:val="5DB32DC4"/>
    <w:rsid w:val="5ED354E3"/>
    <w:rsid w:val="5ED51DBA"/>
    <w:rsid w:val="61FE613F"/>
    <w:rsid w:val="62EE7E30"/>
    <w:rsid w:val="63184B2C"/>
    <w:rsid w:val="633632E6"/>
    <w:rsid w:val="63A14DED"/>
    <w:rsid w:val="65266EAA"/>
    <w:rsid w:val="6576596C"/>
    <w:rsid w:val="66C704BC"/>
    <w:rsid w:val="6771679F"/>
    <w:rsid w:val="67B90AF7"/>
    <w:rsid w:val="68605ED2"/>
    <w:rsid w:val="687F729E"/>
    <w:rsid w:val="6943289B"/>
    <w:rsid w:val="69A1631B"/>
    <w:rsid w:val="6A37278C"/>
    <w:rsid w:val="6D6E5892"/>
    <w:rsid w:val="6E0576C4"/>
    <w:rsid w:val="6EC80ED9"/>
    <w:rsid w:val="6F802652"/>
    <w:rsid w:val="6FA569B2"/>
    <w:rsid w:val="70A43813"/>
    <w:rsid w:val="71DE06AD"/>
    <w:rsid w:val="73B270FE"/>
    <w:rsid w:val="79764865"/>
    <w:rsid w:val="79DD6628"/>
    <w:rsid w:val="7A65590B"/>
    <w:rsid w:val="7A895E73"/>
    <w:rsid w:val="7AD75078"/>
    <w:rsid w:val="7B5E37A8"/>
    <w:rsid w:val="7B6D18CD"/>
    <w:rsid w:val="7B8E3745"/>
    <w:rsid w:val="7B9C70E3"/>
    <w:rsid w:val="7BD21F0F"/>
    <w:rsid w:val="7C8D1239"/>
    <w:rsid w:val="7E61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4BEFA4"/>
  <w15:docId w15:val="{C8B34003-A0E9-4116-A24F-9D0CC54F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5">
    <w:name w:val="footnote text"/>
    <w:basedOn w:val="a"/>
    <w:qFormat/>
    <w:pPr>
      <w:snapToGrid w:val="0"/>
      <w:jc w:val="left"/>
    </w:pPr>
    <w:rPr>
      <w:sz w:val="18"/>
    </w:rPr>
  </w:style>
  <w:style w:type="paragraph" w:styleId="TOC2">
    <w:name w:val="toc 2"/>
    <w:basedOn w:val="a"/>
    <w:next w:val="a"/>
    <w:qFormat/>
    <w:pPr>
      <w:ind w:leftChars="200" w:left="420"/>
    </w:pPr>
  </w:style>
  <w:style w:type="paragraph" w:styleId="a6">
    <w:name w:val="Normal (Web)"/>
    <w:basedOn w:val="a"/>
    <w:qFormat/>
    <w:pPr>
      <w:jc w:val="left"/>
    </w:pPr>
    <w:rPr>
      <w:rFonts w:cs="Times New Roman"/>
      <w:kern w:val="0"/>
      <w:sz w:val="24"/>
    </w:rPr>
  </w:style>
  <w:style w:type="character" w:styleId="a7">
    <w:name w:val="Emphasis"/>
    <w:basedOn w:val="a0"/>
    <w:qFormat/>
    <w:rPr>
      <w:color w:val="CC0000"/>
    </w:rPr>
  </w:style>
  <w:style w:type="character" w:styleId="HTML">
    <w:name w:val="HTML Cite"/>
    <w:basedOn w:val="a0"/>
    <w:qFormat/>
    <w:rPr>
      <w:color w:val="008000"/>
    </w:rPr>
  </w:style>
  <w:style w:type="character" w:styleId="a8">
    <w:name w:val="footnote reference"/>
    <w:basedOn w:val="a0"/>
    <w:qFormat/>
    <w:rPr>
      <w:vertAlign w:val="superscript"/>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1217</Words>
  <Characters>6937</Characters>
  <Application>Microsoft Office Word</Application>
  <DocSecurity>0</DocSecurity>
  <Lines>57</Lines>
  <Paragraphs>16</Paragraphs>
  <ScaleCrop>false</ScaleCrop>
  <Company>Founder</Company>
  <LinksUpToDate>false</LinksUpToDate>
  <CharactersWithSpaces>8138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user</lastModifiedBy>
  <dcterms:modified xsi:type="dcterms:W3CDTF">2018-06-04T03:14:00Z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