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sz w:val="32"/>
          <w:szCs w:val="32"/>
        </w:rPr>
      </w:pPr>
      <w:r>
        <w:rPr>
          <w:rFonts w:hint="eastAsia" w:ascii="黑体" w:hAnsi="黑体" w:eastAsia="黑体"/>
          <w:sz w:val="32"/>
          <w:szCs w:val="32"/>
        </w:rPr>
        <w:t>应用型民办高校业师协同教学模式探析</w:t>
      </w:r>
    </w:p>
    <w:p>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陶芳铭</w:t>
      </w:r>
      <w:r>
        <w:rPr>
          <w:rStyle w:val="13"/>
          <w:rFonts w:hint="eastAsia" w:ascii="宋体" w:hAnsi="宋体" w:eastAsia="宋体" w:cs="宋体"/>
          <w:sz w:val="21"/>
          <w:szCs w:val="21"/>
          <w:lang w:eastAsia="zh-CN"/>
        </w:rPr>
        <w:footnoteReference w:id="0"/>
      </w:r>
    </w:p>
    <w:p>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w:t>
      </w:r>
      <w:r>
        <w:rPr>
          <w:rFonts w:hint="eastAsia" w:ascii="宋体" w:hAnsi="宋体"/>
          <w:sz w:val="18"/>
          <w:szCs w:val="18"/>
        </w:rPr>
        <w:t>浙江树人大学健康与社会管理学院</w:t>
      </w:r>
      <w:r>
        <w:rPr>
          <w:rFonts w:hint="eastAsia" w:ascii="宋体" w:hAnsi="宋体"/>
          <w:sz w:val="18"/>
          <w:szCs w:val="18"/>
          <w:lang w:eastAsia="zh-CN"/>
        </w:rPr>
        <w:t>，浙江</w:t>
      </w:r>
      <w:r>
        <w:rPr>
          <w:rFonts w:hint="eastAsia" w:ascii="宋体" w:hAnsi="宋体"/>
          <w:sz w:val="18"/>
          <w:szCs w:val="18"/>
          <w:lang w:val="en-US" w:eastAsia="zh-CN"/>
        </w:rPr>
        <w:t xml:space="preserve"> 杭州 310011</w:t>
      </w:r>
      <w:r>
        <w:rPr>
          <w:rFonts w:hint="eastAsia" w:ascii="宋体" w:hAnsi="宋体" w:eastAsia="宋体" w:cs="宋体"/>
          <w:sz w:val="21"/>
          <w:szCs w:val="21"/>
          <w:lang w:eastAsia="zh-CN"/>
        </w:rPr>
        <w:t>）</w:t>
      </w:r>
    </w:p>
    <w:p>
      <w:pPr>
        <w:jc w:val="center"/>
        <w:rPr>
          <w:rFonts w:ascii="宋体" w:hAnsi="宋体" w:eastAsia="宋体"/>
          <w:szCs w:val="21"/>
        </w:rPr>
      </w:pPr>
    </w:p>
    <w:p>
      <w:pPr>
        <w:spacing w:line="400" w:lineRule="exact"/>
        <w:ind w:firstLine="422" w:firstLineChars="200"/>
        <w:rPr>
          <w:rFonts w:ascii="宋体" w:hAnsi="宋体" w:eastAsia="宋体"/>
          <w:szCs w:val="21"/>
        </w:rPr>
      </w:pPr>
      <w:r>
        <w:rPr>
          <w:rFonts w:hint="eastAsia" w:ascii="宋体" w:hAnsi="宋体" w:eastAsia="宋体"/>
          <w:b/>
          <w:szCs w:val="21"/>
        </w:rPr>
        <w:t>摘  要：</w:t>
      </w:r>
      <w:r>
        <w:rPr>
          <w:rFonts w:hint="eastAsia" w:ascii="宋体" w:hAnsi="宋体" w:eastAsia="宋体"/>
          <w:szCs w:val="21"/>
        </w:rPr>
        <w:t>随着教育市场需求的变化，很多民办高校都将培养高级应用型人才作为基本办学目标和定位，朝着应用型方向发展。引入相关行业（企业）人员进行业师协同教学模式已成为应用型民办高校一种新的教学尝试和探索。阐明业师协同教学的概念内涵，明确应用型民办高校业师协同教学的模式和特征，依据浙江树人大学公共事业管理专业的业师协同教学实践，从教学计划、师资队伍、课程资源和实践基地等方面探寻应用型民办高校业师协同教学模式的新路径。</w:t>
      </w:r>
    </w:p>
    <w:p>
      <w:pPr>
        <w:spacing w:line="400" w:lineRule="exact"/>
        <w:ind w:firstLine="422" w:firstLineChars="200"/>
        <w:rPr>
          <w:rFonts w:hint="eastAsia" w:ascii="宋体" w:hAnsi="宋体" w:eastAsia="宋体"/>
          <w:szCs w:val="21"/>
        </w:rPr>
      </w:pPr>
      <w:r>
        <w:rPr>
          <w:rFonts w:hint="eastAsia" w:ascii="宋体" w:hAnsi="宋体" w:eastAsia="宋体"/>
          <w:b/>
          <w:szCs w:val="21"/>
        </w:rPr>
        <w:t>关键词：</w:t>
      </w:r>
      <w:r>
        <w:rPr>
          <w:rFonts w:hint="eastAsia" w:ascii="宋体" w:hAnsi="宋体" w:eastAsia="宋体"/>
          <w:szCs w:val="21"/>
        </w:rPr>
        <w:t>业师；协同教学；应用型；民办高校</w:t>
      </w:r>
    </w:p>
    <w:p>
      <w:pPr>
        <w:spacing w:line="400" w:lineRule="exact"/>
        <w:ind w:firstLine="420" w:firstLineChars="200"/>
        <w:rPr>
          <w:rFonts w:hint="default" w:ascii="宋体" w:hAnsi="宋体" w:eastAsia="宋体"/>
          <w:szCs w:val="21"/>
          <w:lang w:val="en-US" w:eastAsia="zh-CN"/>
        </w:rPr>
      </w:pPr>
      <w:r>
        <w:rPr>
          <w:rFonts w:hint="eastAsia" w:ascii="宋体" w:hAnsi="宋体" w:eastAsia="宋体"/>
          <w:szCs w:val="21"/>
          <w:lang w:eastAsia="zh-CN"/>
        </w:rPr>
        <w:t>中图分类号：</w:t>
      </w:r>
      <w:r>
        <w:rPr>
          <w:rFonts w:hint="eastAsia" w:ascii="宋体" w:hAnsi="宋体" w:eastAsia="宋体"/>
          <w:szCs w:val="21"/>
          <w:lang w:val="en-US" w:eastAsia="zh-CN"/>
        </w:rPr>
        <w:t xml:space="preserve">     文献标识码：    文章编号： </w:t>
      </w:r>
    </w:p>
    <w:p>
      <w:pPr>
        <w:spacing w:line="400" w:lineRule="exact"/>
        <w:rPr>
          <w:rFonts w:ascii="宋体" w:hAnsi="宋体" w:eastAsia="宋体"/>
          <w:b/>
          <w:szCs w:val="21"/>
        </w:rPr>
      </w:pPr>
    </w:p>
    <w:p>
      <w:pPr>
        <w:spacing w:line="400" w:lineRule="exact"/>
        <w:ind w:firstLine="420" w:firstLineChars="200"/>
        <w:rPr>
          <w:rFonts w:ascii="宋体" w:hAnsi="宋体" w:eastAsia="宋体"/>
        </w:rPr>
      </w:pPr>
      <w:r>
        <w:rPr>
          <w:rFonts w:hint="eastAsia" w:ascii="宋体" w:hAnsi="宋体" w:eastAsia="宋体"/>
        </w:rPr>
        <w:t>随着社会需求的变化，民办本科高校为了更好地契合市场对其培养人才的需求，大多都将培养高级应用型人才作为学校办学的基本目标和定位，朝着应用型人才培养模式的方向发展。为了使学校培养出来的学生能够更好地与市场对接，让用人单位“招之能用，用之能战”，部分民办高校开始尝试从各行各业邀请具有丰富实务经验和专业技能的行业专家，配合学校专职教师协同参与日常的课程教学，从而强化学生职场的实战能力，让学生更直接地了解实际市场需求和职场环境。民办高校这种协同教学的实践尝试，在一定程度上使学校的本科教学和人才培养工作做到了理论与实践相结合，有助于帮助大学生树立良好的职场态度，强化和提升他们的实务能力与就业竞争力，让培养出来的大学生更能符合市场的需要。因此，业师协同教学模式成为当下一些应用型民办高校教学改革的趋势和选择。</w:t>
      </w:r>
    </w:p>
    <w:p>
      <w:pPr>
        <w:spacing w:line="400" w:lineRule="exact"/>
        <w:ind w:firstLine="482" w:firstLineChars="200"/>
        <w:rPr>
          <w:rFonts w:ascii="宋体" w:hAnsi="宋体" w:eastAsia="宋体"/>
          <w:b/>
          <w:sz w:val="24"/>
          <w:szCs w:val="24"/>
        </w:rPr>
      </w:pPr>
      <w:r>
        <w:rPr>
          <w:rFonts w:hint="eastAsia" w:ascii="宋体" w:hAnsi="宋体" w:eastAsia="宋体"/>
          <w:b/>
          <w:sz w:val="24"/>
          <w:szCs w:val="24"/>
        </w:rPr>
        <w:t>一、业师协同教学的概念内涵</w:t>
      </w:r>
    </w:p>
    <w:p>
      <w:pPr>
        <w:spacing w:line="400" w:lineRule="exact"/>
        <w:ind w:firstLine="420" w:firstLineChars="200"/>
        <w:rPr>
          <w:rFonts w:ascii="宋体" w:hAnsi="宋体" w:eastAsia="宋体"/>
        </w:rPr>
      </w:pPr>
      <w:r>
        <w:rPr>
          <w:rFonts w:hint="eastAsia" w:ascii="宋体" w:hAnsi="宋体" w:eastAsia="宋体"/>
        </w:rPr>
        <w:t>教师承担着教书育人的职责。在中国古代传统道德中，教师担负着“经师”和“人师”两种角色。“经师”在早期主要指传授“经”书的学官，汉代以后，泛指教授学生的大师和师长。随着时代的发展，如今“经师”的概念可以理解为讲授经典著作和各种专业知识的教师，甚至在这个意义上，可以用“业师”来代替古人的“经师”</w:t>
      </w:r>
      <w:r>
        <w:rPr>
          <w:rStyle w:val="11"/>
          <w:rFonts w:ascii="宋体" w:hAnsi="宋体" w:eastAsia="宋体"/>
        </w:rPr>
        <w:t>[</w:t>
      </w:r>
      <w:r>
        <w:rPr>
          <w:rStyle w:val="11"/>
          <w:rFonts w:ascii="宋体" w:hAnsi="宋体" w:eastAsia="宋体"/>
        </w:rPr>
        <w:endnoteReference w:id="0"/>
      </w:r>
      <w:r>
        <w:rPr>
          <w:rStyle w:val="11"/>
          <w:rFonts w:ascii="宋体" w:hAnsi="宋体" w:eastAsia="宋体"/>
        </w:rPr>
        <w:t>]</w:t>
      </w:r>
      <w:r>
        <w:rPr>
          <w:rFonts w:hint="eastAsia" w:ascii="宋体" w:hAnsi="宋体" w:eastAsia="宋体"/>
        </w:rPr>
        <w:t>。但本文中所提及的“业师”，在概念的外延和内涵上与传统意义的“业师”还存在一定区别。为此，为了更好地理解业师协同教学，就需要对业师以及业师协同教学的概念内涵进行必要的阐述和说明。</w:t>
      </w:r>
    </w:p>
    <w:p>
      <w:pPr>
        <w:spacing w:line="400" w:lineRule="exact"/>
        <w:ind w:firstLine="422" w:firstLineChars="200"/>
        <w:rPr>
          <w:rFonts w:ascii="宋体" w:hAnsi="宋体" w:eastAsia="宋体"/>
          <w:b/>
        </w:rPr>
      </w:pPr>
      <w:r>
        <w:rPr>
          <w:rFonts w:hint="eastAsia" w:ascii="宋体" w:hAnsi="宋体" w:eastAsia="宋体"/>
          <w:b/>
        </w:rPr>
        <w:t>（一）业师</w:t>
      </w:r>
    </w:p>
    <w:p>
      <w:pPr>
        <w:spacing w:line="400" w:lineRule="exact"/>
        <w:ind w:firstLine="420" w:firstLineChars="200"/>
        <w:rPr>
          <w:rFonts w:hint="eastAsia" w:ascii="宋体" w:hAnsi="宋体" w:eastAsia="宋体"/>
          <w:lang w:val="en-US" w:eastAsia="zh-CN"/>
        </w:rPr>
      </w:pPr>
      <w:r>
        <w:rPr>
          <w:rFonts w:hint="eastAsia" w:ascii="宋体" w:hAnsi="宋体" w:eastAsia="宋体"/>
        </w:rPr>
        <w:t>业师，又称业界专家、行业导师（Industry Expert），主要是指那些具备融合专业知识和技能，在专业和行业内具有丰富经验的专家、管理人员和技术人员等</w:t>
      </w:r>
      <w:r>
        <w:rPr>
          <w:rStyle w:val="11"/>
          <w:rFonts w:ascii="宋体" w:hAnsi="宋体" w:eastAsia="宋体"/>
        </w:rPr>
        <w:t>[</w:t>
      </w:r>
      <w:r>
        <w:rPr>
          <w:rStyle w:val="11"/>
          <w:rFonts w:ascii="宋体" w:hAnsi="宋体" w:eastAsia="宋体"/>
        </w:rPr>
        <w:endnoteReference w:id="1"/>
      </w:r>
      <w:r>
        <w:rPr>
          <w:rStyle w:val="11"/>
          <w:rFonts w:ascii="宋体" w:hAnsi="宋体" w:eastAsia="宋体"/>
        </w:rPr>
        <w:t>]</w:t>
      </w:r>
      <w:r>
        <w:rPr>
          <w:rFonts w:hint="eastAsia" w:ascii="宋体" w:hAnsi="宋体" w:eastAsia="宋体"/>
        </w:rPr>
        <w:t>。一般来说，业师可以分为在某一领域的专家和业界资深的技术人员两大类。某一领域的专家主要是指在其相关领域等方面的资深专家，他们往往在行业一线奋斗多年，积累了大量的实际教学经验并有着一定的理论高度，对学生、专业规划、人才培养、教育理论、专业发展等方面有着独到的见解，能够帮助教学团队打开思路，规划课程内容和相关流程，找寻教学改革的突破口；而业界资深的技术人员长期工作在行业操作的第一线，对材料、加工技术、成本控制、实际操作等方面具有丰富的经验，能够将理论知识融入到实际操作中，帮助教学团队加强实际操作性，使教学落到实处。有研究表明，业师能以真实案例为主要教学内容，以师傅带徒弟般的关系开展实践教学，进而唤起学生课堂学习的热情，提高教学的针对性和有效性。</w:t>
      </w:r>
      <w:r>
        <w:rPr>
          <w:rFonts w:hint="eastAsia" w:ascii="宋体" w:hAnsi="宋体" w:eastAsia="宋体"/>
          <w:lang w:val="en-US" w:eastAsia="zh-CN"/>
        </w:rPr>
        <w:t xml:space="preserve"> </w:t>
      </w:r>
    </w:p>
    <w:p>
      <w:pPr>
        <w:spacing w:line="400" w:lineRule="exact"/>
        <w:ind w:firstLine="422" w:firstLineChars="200"/>
        <w:rPr>
          <w:rFonts w:ascii="宋体" w:hAnsi="宋体" w:eastAsia="宋体"/>
          <w:b/>
        </w:rPr>
      </w:pPr>
      <w:r>
        <w:rPr>
          <w:rFonts w:hint="eastAsia" w:ascii="宋体" w:hAnsi="宋体" w:eastAsia="宋体"/>
          <w:b/>
        </w:rPr>
        <w:t>（二）协同教学</w:t>
      </w:r>
    </w:p>
    <w:p>
      <w:pPr>
        <w:spacing w:line="400" w:lineRule="exact"/>
        <w:ind w:firstLine="420" w:firstLineChars="200"/>
        <w:rPr>
          <w:rFonts w:ascii="宋体" w:hAnsi="宋体" w:eastAsia="宋体"/>
          <w:color w:val="FF0000"/>
        </w:rPr>
      </w:pPr>
      <w:r>
        <w:rPr>
          <w:rFonts w:hint="eastAsia" w:ascii="宋体" w:hAnsi="宋体" w:eastAsia="宋体"/>
        </w:rPr>
        <w:t>“协同”这一概念最早可以追溯到德国学者哈肯（Haken）的《系统论》，它是指为了实现系统总体演进目标，各子系统或各部门相互配合、相互支持、相互协作而形成的一种从无序到有序的良性循环系统</w:t>
      </w:r>
      <w:r>
        <w:rPr>
          <w:rStyle w:val="11"/>
          <w:rFonts w:ascii="宋体" w:hAnsi="宋体" w:eastAsia="宋体"/>
        </w:rPr>
        <w:t>[</w:t>
      </w:r>
      <w:r>
        <w:rPr>
          <w:rStyle w:val="11"/>
          <w:rFonts w:ascii="宋体" w:hAnsi="宋体" w:eastAsia="宋体"/>
        </w:rPr>
        <w:endnoteReference w:id="2"/>
      </w:r>
      <w:r>
        <w:rPr>
          <w:rStyle w:val="11"/>
          <w:rFonts w:ascii="宋体" w:hAnsi="宋体" w:eastAsia="宋体"/>
        </w:rPr>
        <w:t>]</w:t>
      </w:r>
      <w:r>
        <w:rPr>
          <w:rFonts w:hint="eastAsia" w:ascii="宋体" w:hAnsi="宋体" w:eastAsia="宋体"/>
        </w:rPr>
        <w:t>。协同理论即协同学原理，促使子系统有序运作，从而达到“1+1&gt;2”的效果</w:t>
      </w:r>
      <w:r>
        <w:rPr>
          <w:rStyle w:val="11"/>
          <w:rFonts w:ascii="宋体" w:hAnsi="宋体" w:eastAsia="宋体"/>
        </w:rPr>
        <w:t>[</w:t>
      </w:r>
      <w:r>
        <w:rPr>
          <w:rStyle w:val="11"/>
          <w:rFonts w:ascii="宋体" w:hAnsi="宋体" w:eastAsia="宋体"/>
        </w:rPr>
        <w:endnoteReference w:id="3"/>
      </w:r>
      <w:r>
        <w:rPr>
          <w:rStyle w:val="11"/>
          <w:rFonts w:ascii="宋体" w:hAnsi="宋体" w:eastAsia="宋体"/>
        </w:rPr>
        <w:t>]</w:t>
      </w:r>
      <w:r>
        <w:rPr>
          <w:rFonts w:hint="eastAsia" w:ascii="宋体" w:hAnsi="宋体" w:eastAsia="宋体"/>
        </w:rPr>
        <w:t>。将该理论运用到教育之中，可以“充分发挥学校、企业等不同主体的创造性，突破教育资源条块分割的壁垒，将不同要素的资源进行有效组合，从而提升人才的规模和质量</w:t>
      </w:r>
      <w:r>
        <w:rPr>
          <w:rStyle w:val="11"/>
          <w:rFonts w:ascii="宋体" w:hAnsi="宋体" w:eastAsia="宋体"/>
        </w:rPr>
        <w:t xml:space="preserve"> [</w:t>
      </w:r>
      <w:r>
        <w:rPr>
          <w:rStyle w:val="11"/>
          <w:rFonts w:ascii="宋体" w:hAnsi="宋体" w:eastAsia="宋体"/>
        </w:rPr>
        <w:endnoteReference w:id="4"/>
      </w:r>
      <w:r>
        <w:rPr>
          <w:rStyle w:val="11"/>
          <w:rFonts w:ascii="宋体" w:hAnsi="宋体" w:eastAsia="宋体"/>
        </w:rPr>
        <w:t>]</w:t>
      </w:r>
      <w:r>
        <w:rPr>
          <w:rFonts w:hint="eastAsia" w:ascii="宋体" w:hAnsi="宋体" w:eastAsia="宋体"/>
        </w:rPr>
        <w:t>。”这种新的尝试，旨在通过子系统之间相互的有序协作，便产生了协同的教学效应。</w:t>
      </w:r>
      <w:r>
        <w:rPr>
          <w:rFonts w:hint="eastAsia" w:ascii="宋体" w:hAnsi="宋体" w:eastAsia="宋体"/>
          <w:color w:val="000000" w:themeColor="text1"/>
        </w:rPr>
        <w:t>一般而言，协同教学需要具备“两位或两位以上的教学成员”“实质的教学任务”“高度的共同合作”三项必要条件</w:t>
      </w:r>
      <w:r>
        <w:rPr>
          <w:rStyle w:val="11"/>
          <w:rFonts w:ascii="宋体" w:hAnsi="宋体" w:eastAsia="宋体"/>
          <w:color w:val="000000" w:themeColor="text1"/>
        </w:rPr>
        <w:t>[</w:t>
      </w:r>
      <w:r>
        <w:rPr>
          <w:rStyle w:val="11"/>
          <w:rFonts w:ascii="宋体" w:hAnsi="宋体" w:eastAsia="宋体"/>
          <w:color w:val="000000" w:themeColor="text1"/>
        </w:rPr>
        <w:endnoteReference w:id="5"/>
      </w:r>
      <w:r>
        <w:rPr>
          <w:rStyle w:val="11"/>
          <w:rFonts w:ascii="宋体" w:hAnsi="宋体" w:eastAsia="宋体"/>
          <w:color w:val="000000" w:themeColor="text1"/>
        </w:rPr>
        <w:t>]</w:t>
      </w:r>
      <w:r>
        <w:rPr>
          <w:rFonts w:hint="eastAsia" w:ascii="宋体" w:hAnsi="宋体" w:eastAsia="宋体"/>
          <w:color w:val="000000" w:themeColor="text1"/>
        </w:rPr>
        <w:t>。首先，</w:t>
      </w:r>
      <w:r>
        <w:rPr>
          <w:rFonts w:hint="eastAsia" w:ascii="宋体" w:hAnsi="宋体" w:eastAsia="宋体"/>
        </w:rPr>
        <w:t>从教师参与的数量上看，至少有两个或两个以上的教师参与其中，共同合作完成教学计划的制订、教学过程的实施以及教学效果的评价和反馈；其次，</w:t>
      </w:r>
      <w:r>
        <w:rPr>
          <w:rFonts w:hint="eastAsia" w:ascii="宋体" w:hAnsi="宋体" w:eastAsia="宋体"/>
          <w:color w:val="000000" w:themeColor="text1"/>
        </w:rPr>
        <w:t>协同教学的教师都有着各自相对独立的专长和领域，每位教师应该运用自己的专长参与协同教学并担任实质性的教学事务</w:t>
      </w:r>
      <w:r>
        <w:rPr>
          <w:rFonts w:hint="eastAsia" w:ascii="宋体" w:hAnsi="宋体" w:eastAsia="宋体"/>
        </w:rPr>
        <w:t>；另外，教师彼此之间要有着高度合作的精神，体现的应该是团队（team）而非群体（group），互动关系必须有一定的强度。</w:t>
      </w:r>
      <w:r>
        <w:rPr>
          <w:rFonts w:hint="eastAsia" w:ascii="宋体" w:hAnsi="宋体" w:eastAsia="宋体"/>
          <w:color w:val="000000" w:themeColor="text1"/>
        </w:rPr>
        <w:t>也只有这样，协同教学才可以很好地发挥不同教师的专长，促进专职教师的专业成长和学生</w:t>
      </w:r>
      <w:r>
        <w:rPr>
          <w:rFonts w:hint="eastAsia" w:ascii="宋体" w:hAnsi="宋体" w:eastAsia="宋体"/>
        </w:rPr>
        <w:t>的全面发展。而且，因为在协同教学模式中，同一教室和课堂有两个（或两个以上）的教师同登讲台，教学团队可以通过师师互动、师生互动和生生互动的形式来活跃课堂气氛和培养学生创新精神，从而很好地弥补了单一学科教师的知识不足，不断激发了师生的创新思</w:t>
      </w:r>
      <w:r>
        <w:rPr>
          <w:rFonts w:hint="eastAsia" w:ascii="宋体" w:hAnsi="宋体" w:eastAsia="宋体"/>
          <w:color w:val="000000" w:themeColor="text1"/>
        </w:rPr>
        <w:t>维</w:t>
      </w:r>
      <w:r>
        <w:rPr>
          <w:rStyle w:val="11"/>
          <w:rFonts w:ascii="宋体" w:hAnsi="宋体" w:eastAsia="宋体"/>
          <w:color w:val="000000" w:themeColor="text1"/>
        </w:rPr>
        <w:t>[</w:t>
      </w:r>
      <w:r>
        <w:rPr>
          <w:rStyle w:val="11"/>
          <w:rFonts w:ascii="宋体" w:hAnsi="宋体" w:eastAsia="宋体"/>
          <w:color w:val="000000" w:themeColor="text1"/>
        </w:rPr>
        <w:endnoteReference w:id="6"/>
      </w:r>
      <w:r>
        <w:rPr>
          <w:rStyle w:val="11"/>
          <w:rFonts w:ascii="宋体" w:hAnsi="宋体" w:eastAsia="宋体"/>
          <w:color w:val="000000" w:themeColor="text1"/>
        </w:rPr>
        <w:t>]</w:t>
      </w:r>
      <w:r>
        <w:rPr>
          <w:rFonts w:hint="eastAsia" w:ascii="宋体" w:hAnsi="宋体" w:eastAsia="宋体"/>
        </w:rPr>
        <w:t>。</w:t>
      </w:r>
    </w:p>
    <w:p>
      <w:pPr>
        <w:spacing w:line="400" w:lineRule="exact"/>
        <w:ind w:firstLine="420" w:firstLineChars="200"/>
        <w:rPr>
          <w:rFonts w:hint="eastAsia" w:ascii="宋体" w:hAnsi="宋体" w:eastAsia="宋体"/>
          <w:lang w:val="en-US" w:eastAsia="zh-CN"/>
        </w:rPr>
      </w:pPr>
      <w:r>
        <w:rPr>
          <w:rFonts w:hint="eastAsia" w:ascii="宋体" w:hAnsi="宋体" w:eastAsia="宋体"/>
        </w:rPr>
        <w:t>明确业师和协同教学的概念后，可以将“业师协同教学”界定为由业师与授课教师组成教学团队，共同编写教学大纲和计划，共同参与教学活动的教学模式。这种教学模式要求专职教师和行业导师共同参与组织教学，在人才培养方案和课程教学大纲的制订、课堂活动过程的组织、教学质量的评定等方面共同协作完成。目前，国内有很多应用型民办本科院校和高职院校都十分重视加强业师协同教学模式改革。</w:t>
      </w:r>
      <w:r>
        <w:rPr>
          <w:rFonts w:hint="eastAsia" w:ascii="宋体" w:hAnsi="宋体" w:eastAsia="宋体"/>
          <w:lang w:val="en-US" w:eastAsia="zh-CN"/>
        </w:rPr>
        <w:t xml:space="preserve"> </w:t>
      </w:r>
    </w:p>
    <w:p>
      <w:pPr>
        <w:spacing w:line="400" w:lineRule="exact"/>
        <w:ind w:firstLine="482" w:firstLineChars="200"/>
        <w:rPr>
          <w:rFonts w:ascii="宋体" w:hAnsi="宋体" w:eastAsia="宋体"/>
          <w:b/>
          <w:sz w:val="24"/>
          <w:szCs w:val="24"/>
        </w:rPr>
      </w:pPr>
      <w:r>
        <w:rPr>
          <w:rFonts w:hint="eastAsia" w:ascii="宋体" w:hAnsi="宋体" w:eastAsia="宋体"/>
          <w:b/>
          <w:sz w:val="24"/>
          <w:szCs w:val="24"/>
        </w:rPr>
        <w:t>二、应用型民办高校业师协同教学的模式及特征</w:t>
      </w:r>
    </w:p>
    <w:p>
      <w:pPr>
        <w:spacing w:line="400" w:lineRule="exact"/>
        <w:ind w:firstLine="420" w:firstLineChars="200"/>
        <w:rPr>
          <w:rFonts w:ascii="宋体" w:hAnsi="宋体" w:eastAsia="宋体"/>
          <w:color w:val="000000" w:themeColor="text1"/>
        </w:rPr>
      </w:pPr>
      <w:r>
        <w:rPr>
          <w:rFonts w:hint="eastAsia" w:ascii="宋体" w:hAnsi="宋体" w:eastAsia="宋体"/>
          <w:color w:val="000000" w:themeColor="text1"/>
        </w:rPr>
        <w:t>相对而言，行业的业界专家实践能力丰富，但由于其自身发展的原因，可能没有接受过关于教育教学方面的系统训练，在教学能力方面略显薄弱；而高校校内的专任教师大多数都是硕士或博士，在教学和科研上有着较深的造诣，但往往缺乏一定的行业实践经验，社会实践能力相对不足。因此，</w:t>
      </w:r>
      <w:r>
        <w:rPr>
          <w:rFonts w:hint="eastAsia" w:ascii="宋体" w:hAnsi="宋体" w:eastAsia="宋体"/>
        </w:rPr>
        <w:t>业师</w:t>
      </w:r>
      <w:r>
        <w:rPr>
          <w:rFonts w:hint="eastAsia" w:ascii="宋体" w:hAnsi="宋体" w:eastAsia="宋体"/>
          <w:color w:val="000000" w:themeColor="text1"/>
        </w:rPr>
        <w:t>协同教学模式破解了“教室王国”和“教师中心”的教学城墙，将行业导师和专任教师有机地结合在同一课堂上，分工协作，主动构建了学生的学习共同体。这不仅实现了课堂教学方式的转变，而且创新了学生的学习型态，使得学生在轻松、活泼且有效的教学情境中，学到丰富的知识、技能，并实现了综合素养的提升。在此基础上，进一步明确应用型民办高校业师协同教学的模式和特征有助于更好地实施和推进业师协同教学的发展。</w:t>
      </w:r>
    </w:p>
    <w:p>
      <w:pPr>
        <w:spacing w:line="400" w:lineRule="exact"/>
        <w:ind w:firstLine="422" w:firstLineChars="200"/>
        <w:rPr>
          <w:rFonts w:ascii="宋体" w:hAnsi="宋体" w:eastAsia="宋体"/>
          <w:b/>
        </w:rPr>
      </w:pPr>
      <w:r>
        <w:rPr>
          <w:rFonts w:hint="eastAsia" w:ascii="宋体" w:hAnsi="宋体" w:eastAsia="宋体"/>
          <w:b/>
        </w:rPr>
        <w:t>（一）业师协同教学的模式</w:t>
      </w:r>
    </w:p>
    <w:p>
      <w:pPr>
        <w:spacing w:line="400" w:lineRule="exact"/>
        <w:ind w:firstLine="420" w:firstLineChars="200"/>
        <w:rPr>
          <w:rFonts w:ascii="宋体" w:hAnsi="宋体" w:eastAsia="宋体"/>
        </w:rPr>
      </w:pPr>
      <w:r>
        <w:rPr>
          <w:rFonts w:hint="eastAsia" w:ascii="宋体" w:hAnsi="宋体" w:eastAsia="宋体"/>
        </w:rPr>
        <w:t>关于业师协同教学的流程模式，近年来国内研究者从协同教学时教师的组织形式方面，提出了一些不同的实践模式。王少非（2005）在总结国内外协同教学的基础上，将其总结为典型模式、支持模式、平行模式和嘉宾模式四种类型</w:t>
      </w:r>
      <w:r>
        <w:rPr>
          <w:rStyle w:val="11"/>
          <w:rFonts w:ascii="宋体" w:hAnsi="宋体" w:eastAsia="宋体"/>
        </w:rPr>
        <w:t>[</w:t>
      </w:r>
      <w:r>
        <w:rPr>
          <w:rStyle w:val="11"/>
          <w:rFonts w:ascii="宋体" w:hAnsi="宋体" w:eastAsia="宋体"/>
        </w:rPr>
        <w:endnoteReference w:id="7"/>
      </w:r>
      <w:r>
        <w:rPr>
          <w:rStyle w:val="11"/>
          <w:rFonts w:ascii="宋体" w:hAnsi="宋体" w:eastAsia="宋体"/>
        </w:rPr>
        <w:t>]</w:t>
      </w:r>
      <w:r>
        <w:rPr>
          <w:rFonts w:hint="eastAsia" w:ascii="宋体" w:hAnsi="宋体" w:eastAsia="宋体"/>
        </w:rPr>
        <w:t>。其中，典型模式是指教学团队全体成员共同负责设计、呈现和反馈教学内容，评定教学成绩；支持模式是指团队全体成员共同负责教学内容的设计和考核成绩的评定，并根据各自的专长依次呈现个人的教学材料；平行模式是指合作教师先共同合作设定教学内容和过程，并在此基础上对同一班级的平行小组进行指导；而嘉宾模式则是在指定一位教师单独负责设计内容和评定成绩的基础上，定期邀请专家作为嘉宾来参与合作的一种教学模式。刘颖（2008）打破单一学科界限，从两门及以上学科知识之间的横向联系提出了双科协同教学模式、多科协同教学模式以及主题式协同教学模式等三种类型</w:t>
      </w:r>
      <w:r>
        <w:rPr>
          <w:rStyle w:val="11"/>
          <w:rFonts w:ascii="宋体" w:hAnsi="宋体" w:eastAsia="宋体"/>
        </w:rPr>
        <w:t>[</w:t>
      </w:r>
      <w:r>
        <w:rPr>
          <w:rStyle w:val="11"/>
          <w:rFonts w:ascii="宋体" w:hAnsi="宋体" w:eastAsia="宋体"/>
        </w:rPr>
        <w:endnoteReference w:id="8"/>
      </w:r>
      <w:r>
        <w:rPr>
          <w:rStyle w:val="11"/>
          <w:rFonts w:ascii="宋体" w:hAnsi="宋体" w:eastAsia="宋体"/>
        </w:rPr>
        <w:t>]</w:t>
      </w:r>
      <w:r>
        <w:rPr>
          <w:rFonts w:hint="eastAsia" w:ascii="宋体" w:hAnsi="宋体" w:eastAsia="宋体"/>
        </w:rPr>
        <w:t>。其中，双科协同教学是指将两门学科之间的知识内容按照学科和学习者认知逻辑重新排列组合进行教学；多科协同教学是指把三科或三科以上的教师和教学内容协同，教师们按照自己的学科专长组织相应的教学内容，共同完成这几科教学任务的一种教学形式；而主题式协同教学则是针对某个主题进行统整的协同教学模式。在此基础上，还可以衍生出诸如单科协同教学、跨校协同教学等模式。另外，还有论者从教师个人的角度提出实施协同教学的步骤：组建教学团队、教学团队内部的协同、教学团队与外部的协同、协同教学的评价。从协同学的角度提出协同教学过程要依据教学的每个环节（教学目标、教学内容、教学结构、教学方法、教学评价、教学流程等）的要领进行协同</w:t>
      </w:r>
      <w:r>
        <w:rPr>
          <w:rStyle w:val="11"/>
          <w:rFonts w:ascii="宋体" w:hAnsi="宋体" w:eastAsia="宋体"/>
        </w:rPr>
        <w:t xml:space="preserve"> [</w:t>
      </w:r>
      <w:r>
        <w:rPr>
          <w:rStyle w:val="11"/>
          <w:rFonts w:ascii="宋体" w:hAnsi="宋体" w:eastAsia="宋体"/>
        </w:rPr>
        <w:endnoteReference w:id="9"/>
      </w:r>
      <w:r>
        <w:rPr>
          <w:rStyle w:val="11"/>
          <w:rFonts w:ascii="宋体" w:hAnsi="宋体" w:eastAsia="宋体"/>
        </w:rPr>
        <w:t>]</w:t>
      </w:r>
      <w:r>
        <w:rPr>
          <w:rFonts w:hint="eastAsia" w:ascii="宋体" w:hAnsi="宋体" w:eastAsia="宋体"/>
        </w:rPr>
        <w:t>。总之，依据不同的区分向度，业师协同教学模式可以进行不同类别的分类。</w:t>
      </w:r>
    </w:p>
    <w:p>
      <w:pPr>
        <w:spacing w:line="400" w:lineRule="exact"/>
        <w:ind w:firstLine="422" w:firstLineChars="200"/>
        <w:rPr>
          <w:rFonts w:ascii="宋体" w:hAnsi="宋体" w:eastAsia="宋体"/>
          <w:b/>
        </w:rPr>
      </w:pPr>
      <w:r>
        <w:rPr>
          <w:rFonts w:hint="eastAsia" w:ascii="宋体" w:hAnsi="宋体" w:eastAsia="宋体"/>
          <w:b/>
        </w:rPr>
        <w:t>（二）业师协同教学的特征</w:t>
      </w:r>
    </w:p>
    <w:p>
      <w:pPr>
        <w:spacing w:line="400" w:lineRule="exact"/>
        <w:ind w:firstLine="420" w:firstLineChars="200"/>
        <w:rPr>
          <w:rFonts w:ascii="宋体" w:hAnsi="宋体" w:eastAsia="宋体"/>
          <w:color w:val="000000" w:themeColor="text1"/>
        </w:rPr>
      </w:pPr>
      <w:r>
        <w:rPr>
          <w:rFonts w:hint="eastAsia" w:ascii="宋体" w:hAnsi="宋体" w:eastAsia="宋体"/>
          <w:color w:val="000000" w:themeColor="text1"/>
        </w:rPr>
        <w:t>由于业师协同教学需要业界人士来参与完成，因此，在教学中除了具有一般教学的特点外，还有着其自身的特征。</w:t>
      </w:r>
    </w:p>
    <w:p>
      <w:pPr>
        <w:spacing w:line="400" w:lineRule="exact"/>
        <w:ind w:firstLine="420" w:firstLineChars="200"/>
        <w:rPr>
          <w:rFonts w:ascii="宋体" w:hAnsi="宋体" w:eastAsia="宋体"/>
          <w:color w:val="000000" w:themeColor="text1"/>
        </w:rPr>
      </w:pPr>
      <w:r>
        <w:rPr>
          <w:rFonts w:hint="eastAsia" w:ascii="宋体" w:hAnsi="宋体" w:eastAsia="宋体"/>
          <w:color w:val="000000" w:themeColor="text1"/>
        </w:rPr>
        <w:t>1.灵活性与开放性。相对于常规的学校教学模式而言，业师协同教学在授课内容和形式等方面具有更加灵活和开放性特点。学生可以在业师的指导下，更加灵活地发挥其自身的自主性和主动性。为了达到预期的协同教学的预期效果，在教学内容的选择上则更具灵活性和开放性，既可以是相关知识的拓展，也可以是实践技能的训练，还可以是理论和实践的衔接；在教学形式的安排上，既可以在学校教室里进行课堂教学，也能够在行业的真实环境中进行实践教学。另外，由于业师协同教学模式目前仍处于初步的探索阶段，对其教学内容和形式尚无固定要求，因此在具体教学内容的设定以及教学形式的安排上又具有多样性的特点。教学有法，但无定法，专业教师和业师在协同教学的过程中，可以采用探究式、讨论式、参与式等方式，共同研讨、探寻符合专业特点的教学内容和方式，使得教学具有灵活多样性。所以，业师协同教学可以具有不同的变式，结合学科、专业及课程的特点来具体展开。</w:t>
      </w:r>
    </w:p>
    <w:p>
      <w:pPr>
        <w:spacing w:line="400" w:lineRule="exact"/>
        <w:ind w:firstLine="420" w:firstLineChars="200"/>
        <w:rPr>
          <w:rFonts w:ascii="宋体" w:hAnsi="宋体" w:eastAsia="宋体"/>
          <w:color w:val="000000" w:themeColor="text1"/>
        </w:rPr>
      </w:pPr>
      <w:r>
        <w:rPr>
          <w:rFonts w:hint="eastAsia" w:ascii="宋体" w:hAnsi="宋体" w:eastAsia="宋体"/>
          <w:color w:val="000000" w:themeColor="text1"/>
        </w:rPr>
        <w:t>2.针对性与操作性。高级应用型人才的培养，除了教授学生系统的学科专业知识外，更需要培养学生充足的职业能力。因此，引进业师进行协同教学就非常符合专业的要求，具有很强的针对性和可操作性。由于业师教学的任务主要由业界人士来完成，来自不同业界的人员就会依据其所从事的行业来进行有针对性的教学。同样的课程，来自不同行业的业师就会结合其自身行业和专业的特点来开展有针对性的教学。如，来自企业的业界导师和来自机关单位的行业导师，就会依据各自的职业特点来展开教学，使得协同教学具有较强的针对性。同时，引进业师协同教学的目的就在于克服专业理论教学过于单一的状况，更好地凸显实际操作性，再加上业师本身丰富的工作经验，因此，就使得协同教学在具有针对性的同时，又有着很强的可操作性。业师协同教学模式将教材中所学的理论知识和行业（企业）等单位的实际工作结合起来，避免了出现诸如理论和实践“两张皮”脱节的现象，充分运用了“理实一体”的教学方法，把理论教学和实践教学有机融合，让教学既有理论课程的“高大上”，同时也让课堂教学由于和行业（企业）的实际紧密结合而显得更加“接地气”，让学生在学习和实践中能够真正做到学以致用，知行合一。</w:t>
      </w:r>
    </w:p>
    <w:p>
      <w:pPr>
        <w:spacing w:line="400" w:lineRule="exact"/>
        <w:ind w:firstLine="482" w:firstLineChars="200"/>
        <w:rPr>
          <w:rFonts w:ascii="宋体" w:hAnsi="宋体" w:eastAsia="宋体"/>
          <w:b/>
          <w:sz w:val="24"/>
          <w:szCs w:val="24"/>
        </w:rPr>
      </w:pPr>
      <w:r>
        <w:rPr>
          <w:rFonts w:hint="eastAsia" w:ascii="宋体" w:hAnsi="宋体" w:eastAsia="宋体"/>
          <w:b/>
          <w:sz w:val="24"/>
          <w:szCs w:val="24"/>
        </w:rPr>
        <w:t>三、应用型民办高校业师协同教学的实践路径——以浙江树人大学公共事业管理专业为例</w:t>
      </w:r>
      <w:r>
        <w:rPr>
          <w:rStyle w:val="13"/>
          <w:rFonts w:ascii="宋体" w:hAnsi="宋体" w:eastAsia="宋体"/>
          <w:b/>
          <w:sz w:val="24"/>
          <w:szCs w:val="24"/>
        </w:rPr>
        <w:footnoteReference w:id="1"/>
      </w:r>
    </w:p>
    <w:p>
      <w:pPr>
        <w:spacing w:line="400" w:lineRule="exact"/>
        <w:ind w:firstLine="420" w:firstLineChars="200"/>
        <w:rPr>
          <w:rFonts w:ascii="宋体" w:hAnsi="宋体" w:eastAsia="宋体"/>
          <w:b/>
        </w:rPr>
      </w:pPr>
      <w:r>
        <w:rPr>
          <w:rFonts w:hint="eastAsia" w:ascii="宋体" w:hAnsi="宋体" w:eastAsia="宋体"/>
          <w:lang w:val="en-US" w:eastAsia="zh-CN"/>
        </w:rPr>
        <w:t xml:space="preserve"> </w:t>
      </w:r>
      <w:r>
        <w:rPr>
          <w:rFonts w:hint="eastAsia" w:ascii="宋体" w:hAnsi="宋体" w:eastAsia="宋体"/>
          <w:b/>
        </w:rPr>
        <w:t>（一）制订教学计划，发挥业师协同教学作用</w:t>
      </w:r>
    </w:p>
    <w:p>
      <w:pPr>
        <w:spacing w:line="400" w:lineRule="exact"/>
        <w:ind w:firstLine="420" w:firstLineChars="200"/>
        <w:rPr>
          <w:rFonts w:ascii="宋体" w:hAnsi="宋体" w:eastAsia="宋体"/>
        </w:rPr>
      </w:pPr>
      <w:r>
        <w:rPr>
          <w:rFonts w:hint="eastAsia" w:ascii="宋体" w:hAnsi="宋体" w:eastAsia="宋体"/>
        </w:rPr>
        <w:t>业师协同教学模式，区别于传统的纯理论性教学。为此，需要针对其自身教学特点，专门重新编写和制定符合要求的人才培养方案、课程教学大纲和教学计划。培养方案和教学大纲需要融实践性、应用性于一体，有专门针对行业需求的教学内容及实践环节，并能充分发挥和体现业师教学的专长。并且利用行业学院自身优势，发挥学校和行业（企业）的相互协作效应，真正将教学大纲和计划规定的内容得以实施，落到实处，发挥真正的效果。浙江树人大学公共事业管理专业培养方案采用“平台+模块”的形式，通过理论教学和实践环节，强化学生的理论和实践能力，注重集中性实践教学环节课程设置。近年来，专业多次邀请一些立足于杭州地区影响较大的教育培训机构和健康养老机构的负责人及业务骨干来到学校，对学生进行相关管理类案例的分享，让学生更清楚地明确协同教学大纲和计划中的要求，强化对公共事业管理专业的理解和认识。同时，发挥不同业师教学型态的协同作用。业师协同教学型态上，一般可分为单科协同、多科协同、跨校协同和循环式协同等型态。教学中充分发挥业师协同教学型态的作用，透过协同教学，充分运用教师专长分工合作、创新教学组织改进教学型态、充分利用教学设备善用教学资源、发挥团队精神突破传统班级、学生获得较多指导、变化学习方式提高学习兴趣、适应学生的个别差异、兼顾个性与群性等功能。因此，业界专家在学校进行协同教学时，充分运用不同的协同教学型态，将本身拥有的专业知识与实践中积累的专业经验传授给学生，从而更全面地发挥业师协同教学的作用。</w:t>
      </w:r>
    </w:p>
    <w:p>
      <w:pPr>
        <w:spacing w:line="400" w:lineRule="exact"/>
        <w:ind w:firstLine="422" w:firstLineChars="200"/>
        <w:rPr>
          <w:rFonts w:ascii="宋体" w:hAnsi="宋体" w:eastAsia="宋体"/>
          <w:b/>
        </w:rPr>
      </w:pPr>
      <w:r>
        <w:rPr>
          <w:rFonts w:hint="eastAsia" w:ascii="宋体" w:hAnsi="宋体" w:eastAsia="宋体"/>
          <w:b/>
        </w:rPr>
        <w:t>（二）强化队伍建设，组建业师协同教学团队</w:t>
      </w:r>
    </w:p>
    <w:p>
      <w:pPr>
        <w:spacing w:line="400" w:lineRule="exact"/>
        <w:ind w:firstLine="420" w:firstLineChars="200"/>
        <w:rPr>
          <w:rFonts w:ascii="宋体" w:hAnsi="宋体" w:eastAsia="宋体"/>
        </w:rPr>
      </w:pPr>
      <w:r>
        <w:rPr>
          <w:rFonts w:hint="eastAsia" w:ascii="宋体" w:hAnsi="宋体" w:eastAsia="宋体"/>
        </w:rPr>
        <w:t>打造和建设高水平的教学团队是取得良好教学效果的前提和保障，什么样的教师决定着什么样的教学方法和人才培养质量。车尔尼雪夫斯基曾指出：“教师把学生造成一种什么人，自己就应当是这种人</w:t>
      </w:r>
      <w:r>
        <w:rPr>
          <w:rStyle w:val="11"/>
          <w:rFonts w:ascii="宋体" w:hAnsi="宋体" w:eastAsia="宋体"/>
        </w:rPr>
        <w:t>[</w:t>
      </w:r>
      <w:r>
        <w:rPr>
          <w:rStyle w:val="11"/>
          <w:rFonts w:ascii="宋体" w:hAnsi="宋体" w:eastAsia="宋体"/>
        </w:rPr>
        <w:endnoteReference w:id="10"/>
      </w:r>
      <w:r>
        <w:rPr>
          <w:rStyle w:val="11"/>
          <w:rFonts w:ascii="宋体" w:hAnsi="宋体" w:eastAsia="宋体"/>
        </w:rPr>
        <w:t>]</w:t>
      </w:r>
      <w:r>
        <w:rPr>
          <w:rFonts w:hint="eastAsia" w:ascii="宋体" w:hAnsi="宋体" w:eastAsia="宋体"/>
        </w:rPr>
        <w:t>。”所以，推进业师协同教学模式需要强化教师队伍建设，组建业师协同教学团队。通过制定相关业师协同教学制度来强化业师队伍建设，对于符合相关条件和资质的，就可将其聘为业师。如，台湾业师的选择，就从学历、工作年资、特殊资历等三方面来界定，为业师协同教学模式中的教师队伍建设提供了借鉴和参考</w:t>
      </w:r>
      <w:r>
        <w:rPr>
          <w:rStyle w:val="11"/>
          <w:rFonts w:ascii="宋体" w:hAnsi="宋体" w:eastAsia="宋体"/>
        </w:rPr>
        <w:t>[</w:t>
      </w:r>
      <w:r>
        <w:rPr>
          <w:rStyle w:val="11"/>
          <w:rFonts w:ascii="宋体" w:hAnsi="宋体" w:eastAsia="宋体"/>
        </w:rPr>
        <w:endnoteReference w:id="11"/>
      </w:r>
      <w:r>
        <w:rPr>
          <w:rStyle w:val="11"/>
          <w:rFonts w:ascii="宋体" w:hAnsi="宋体" w:eastAsia="宋体"/>
        </w:rPr>
        <w:t>]</w:t>
      </w:r>
      <w:r>
        <w:rPr>
          <w:rFonts w:hint="eastAsia" w:ascii="宋体" w:hAnsi="宋体" w:eastAsia="宋体"/>
        </w:rPr>
        <w:t>。依据台湾的做法，在业师队伍建设上，可以从业界人员的学历或从业经验上来进行选拔。学历达到本科及以上、有专职五年或兼职十年以上业界工作经历、具备相关行业的专业资质等条件，就可以视情况聘为业师，从事协同教学工作。浙江树人大学公共事业管理专业围绕学校培养高级应用型人才的目标，在做好专职教师队伍建设的基础上，非常注重强化业师队伍建设。经过几年的积累，目前已经初步形成了稳定的专、兼职教师队伍。专业授课教师中，学校本专业的专职教师基本上都具有博士学位，他们主要从事着公事业管理专业核心课程的理论教学；同时，结合公共事业管理专业方向（教育服务与管理和健康服务与管理），在社会上聘请一些相关行业（学校、培训机构、养老机构以及医院等）的专业负责人员来到学生课堂，以开讲座、开展专业技能培训的形式来进行协同教学。将业师邀请进来参与到课堂教学之中，在保证业师来源稳定性的基础上，也打破专任教师主导课堂的单一教学模式，使师资队伍呈现出多元化的特点。在实施“千人业师”计划的基础上，推进“百业培师”计划，鼓励专职教师定期到企业挂职锻炼，获取生产管理一线实务经验；并积极引导教师依据自身的特长和专业特点有针对性地考取相关职业资格证书，打造出一支稳定的高水平的“双师双能型”教师队伍，实现教师专业发展方式由单纯的理论素养向着学术研修和实践能力两方面协同发展。</w:t>
      </w:r>
    </w:p>
    <w:p>
      <w:pPr>
        <w:spacing w:line="400" w:lineRule="exact"/>
        <w:ind w:firstLine="422" w:firstLineChars="200"/>
        <w:rPr>
          <w:rFonts w:ascii="宋体" w:hAnsi="宋体" w:eastAsia="宋体"/>
          <w:b/>
        </w:rPr>
      </w:pPr>
      <w:r>
        <w:rPr>
          <w:rFonts w:hint="eastAsia" w:ascii="宋体" w:hAnsi="宋体" w:eastAsia="宋体"/>
          <w:b/>
        </w:rPr>
        <w:t>（三）开发教学资源，深化业师协同教学改革</w:t>
      </w:r>
    </w:p>
    <w:p>
      <w:pPr>
        <w:spacing w:line="400" w:lineRule="exact"/>
        <w:ind w:firstLine="420" w:firstLineChars="200"/>
        <w:rPr>
          <w:rFonts w:ascii="宋体" w:hAnsi="宋体" w:eastAsia="宋体"/>
        </w:rPr>
      </w:pPr>
      <w:r>
        <w:rPr>
          <w:rFonts w:hint="eastAsia" w:ascii="宋体" w:hAnsi="宋体" w:eastAsia="宋体"/>
        </w:rPr>
        <w:t>优质的教学资源是获得良好教学效果的前提和保障。为了推进业师协同教学模式的深入发展，需要不断开发和拓展课内外的相关教学资源。在可能的情况下，努力改变传统的教学手段，利用“互联网+”的优势，建立合理的资源共享共建机制</w:t>
      </w:r>
      <w:r>
        <w:rPr>
          <w:rStyle w:val="11"/>
          <w:rFonts w:ascii="宋体" w:hAnsi="宋体" w:eastAsia="宋体"/>
        </w:rPr>
        <w:t xml:space="preserve"> [</w:t>
      </w:r>
      <w:r>
        <w:rPr>
          <w:rStyle w:val="11"/>
          <w:rFonts w:ascii="宋体" w:hAnsi="宋体" w:eastAsia="宋体"/>
        </w:rPr>
        <w:endnoteReference w:id="12"/>
      </w:r>
      <w:r>
        <w:rPr>
          <w:rStyle w:val="11"/>
          <w:rFonts w:ascii="宋体" w:hAnsi="宋体" w:eastAsia="宋体"/>
        </w:rPr>
        <w:t>]</w:t>
      </w:r>
      <w:r>
        <w:rPr>
          <w:rFonts w:hint="eastAsia" w:ascii="宋体" w:hAnsi="宋体" w:eastAsia="宋体"/>
        </w:rPr>
        <w:t>。一方面，依托行业学院的优势，充分挖掘行业（企业）已有的相关资源。如，深入企业等单位来开设实体教学班和虚拟教学班，利用行业优势来拓展教学资源，深化课程和教学改革。目前，浙江树人大学公共事业管理专业（教育服务与管理方向）就已经在合作教学的培训机构开设了课程开发与教学评价课程的虚拟班，（健康服务与管理方向）则在相关医养护理中心开设健康教育学课程虚拟班，利用顶岗实习的时间来对接相关机构，通过业师定期地开展实践教学及研讨活动，学生反馈出来的效果良好。另一方面，强化与业师协同教学模式相配套的课程和教材体系建设。课程和教材是课堂教学的重要载体，同时也是非常重要的教学资源。一套符合学生特点和需要的课程或教材，可以帮助学生在短时间内集中学习到很多知识，起到事半功倍的效果。为此，按照专业发展的需求，课程选用国家优质教材；同时对没有合适教材的课程，组织专门人员，筹备经费，开发适合业师协同教学的校本课程和实践教材，强化应用型课程和教材建设。依托互联网时代的优势，充分利用学校专业教师的理论资源和业师的实践优势，相互取长补短，共同组织编写适合应用型民办高校的教材体系。加大鼓励专业教师结合地方省情及学校的教学实践编写专业教材，争取通过几年的建设和运用，努力建设符合专业特点的应用型课程和教材体系。</w:t>
      </w:r>
    </w:p>
    <w:p>
      <w:pPr>
        <w:spacing w:line="400" w:lineRule="exact"/>
        <w:ind w:firstLine="422" w:firstLineChars="200"/>
        <w:rPr>
          <w:rFonts w:ascii="宋体" w:hAnsi="宋体" w:eastAsia="宋体"/>
          <w:b/>
        </w:rPr>
      </w:pPr>
      <w:r>
        <w:rPr>
          <w:rFonts w:hint="eastAsia" w:ascii="宋体" w:hAnsi="宋体" w:eastAsia="宋体"/>
          <w:b/>
        </w:rPr>
        <w:t>（四）注重校企合作，拓展校外实践合作基地</w:t>
      </w:r>
    </w:p>
    <w:p>
      <w:pPr>
        <w:spacing w:line="400" w:lineRule="exact"/>
        <w:ind w:firstLine="420" w:firstLineChars="200"/>
        <w:rPr>
          <w:rFonts w:ascii="宋体" w:hAnsi="宋体" w:eastAsia="宋体"/>
          <w:color w:val="000000" w:themeColor="text1"/>
        </w:rPr>
      </w:pPr>
      <w:r>
        <w:rPr>
          <w:rFonts w:hint="eastAsia" w:ascii="宋体" w:hAnsi="宋体" w:eastAsia="宋体"/>
          <w:color w:val="000000" w:themeColor="text1"/>
        </w:rPr>
        <w:t>应用型人才培养的最终落脚点是培养的人才能被企业所广泛接受，因此，应用型民办高校需要在教学方式实现由“学科理论取向”向“实践应用取向”的转型，积极探索强化校企合作模式，从而真正培养出既具有一定学科基础知识又具有一定实践操作能力的高级应用型人才</w:t>
      </w:r>
      <w:r>
        <w:rPr>
          <w:rStyle w:val="11"/>
          <w:rFonts w:ascii="宋体" w:hAnsi="宋体" w:eastAsia="宋体"/>
        </w:rPr>
        <w:t>[</w:t>
      </w:r>
      <w:r>
        <w:rPr>
          <w:rStyle w:val="11"/>
          <w:rFonts w:ascii="宋体" w:hAnsi="宋体" w:eastAsia="宋体"/>
        </w:rPr>
        <w:endnoteReference w:id="13"/>
      </w:r>
      <w:r>
        <w:rPr>
          <w:rStyle w:val="11"/>
          <w:rFonts w:ascii="宋体" w:hAnsi="宋体" w:eastAsia="宋体"/>
        </w:rPr>
        <w:t>]</w:t>
      </w:r>
      <w:r>
        <w:rPr>
          <w:rFonts w:hint="eastAsia" w:ascii="宋体" w:hAnsi="宋体" w:eastAsia="宋体"/>
          <w:color w:val="000000" w:themeColor="text1"/>
        </w:rPr>
        <w:t>。在浙江树人大学</w:t>
      </w:r>
      <w:r>
        <w:rPr>
          <w:rFonts w:hint="eastAsia" w:ascii="宋体" w:hAnsi="宋体" w:eastAsia="宋体"/>
        </w:rPr>
        <w:t>公共事业管理专业的培养方案中，将顶岗实习作为一项基本教学实践环节，凸显了对学生校外实习能力的重视。为了能够将学生的顶岗实习落到实处，通过近几年的培育和发展，目前已经培育和拓展了数十家校外实习合作单位，并在部分实践基地通过相互冠名和挂牌的形式来强化合作事宜。</w:t>
      </w:r>
      <w:r>
        <w:rPr>
          <w:rFonts w:hint="eastAsia" w:ascii="宋体" w:hAnsi="宋体" w:eastAsia="宋体"/>
          <w:color w:val="000000" w:themeColor="text1"/>
        </w:rPr>
        <w:t>通过校企合作，一方面强化了专业的实践基地建设，强化了学生的实践能力；另一方面，也为学生毕业论文的选题和以及今后的就业提供了很好的资源和机会。如，在公共事业管理专业2018届毕业生的毕业论文选题中，很多选题均源自于实习时的感受和体会，而且这种状况呈现出逐年上升趋势。据初步统计，有将近50%的毕业生论文选题与其在大三阶段的顶岗实习单位有关，如“教育培训机构的营销策略研究”“杭州老年公寓养老模式的可复制性研究”等选题，均是以学校顶岗实习的实践基地作为研究对象的具体体现。同时，这些学生毕业后，很多分别与实习基地签订了三方协议，成为该单位的正式员工，为学校毕业生的就业工作提供了很好的便利，也为学校接下来的专业发展积累了一定的校友资源。</w:t>
      </w:r>
    </w:p>
    <w:p>
      <w:pPr>
        <w:spacing w:line="400" w:lineRule="exact"/>
        <w:ind w:firstLine="420" w:firstLineChars="200"/>
        <w:rPr>
          <w:rFonts w:ascii="宋体" w:hAnsi="宋体" w:eastAsia="宋体"/>
          <w:color w:val="000000" w:themeColor="text1"/>
        </w:rPr>
      </w:pPr>
      <w:r>
        <w:rPr>
          <w:rFonts w:hint="eastAsia" w:ascii="宋体" w:hAnsi="宋体" w:eastAsia="宋体"/>
        </w:rPr>
        <w:t>总之，浙江树人大学公共事业管理专业自2014年申报获批以来，一直坚持业师协同教学模式改革。经过几年的实践探索，目前</w:t>
      </w:r>
      <w:r>
        <w:rPr>
          <w:rFonts w:hint="eastAsia" w:ascii="宋体" w:hAnsi="宋体" w:eastAsia="宋体"/>
          <w:color w:val="000000" w:themeColor="text1"/>
        </w:rPr>
        <w:t>教学成效明显，有效地增加了专任教师和学生的实务能力，提升了学生的学生兴趣与能动性，受到了学生的普遍欢迎和社会的广泛认可，也为应用型民办高校业师协同教学模式提供了新的实践路径，正逐渐成为应用型民办高校值得深入推广的一种教学模式。</w:t>
      </w:r>
    </w:p>
    <w:p>
      <w:pPr>
        <w:widowControl/>
        <w:jc w:val="left"/>
        <w:rPr>
          <w:rFonts w:asciiTheme="minorEastAsia" w:hAnsiTheme="minorEastAsia"/>
          <w:color w:val="000000" w:themeColor="text1"/>
        </w:rPr>
      </w:pPr>
      <w:r>
        <w:rPr>
          <w:rFonts w:asciiTheme="minorEastAsia" w:hAnsiTheme="minorEastAsia"/>
          <w:color w:val="000000" w:themeColor="text1"/>
        </w:rPr>
        <w:br w:type="page"/>
      </w:r>
    </w:p>
    <w:p>
      <w:pPr>
        <w:ind w:firstLine="422" w:firstLineChars="200"/>
        <w:rPr>
          <w:rFonts w:asciiTheme="minorEastAsia" w:hAnsiTheme="minorEastAsia"/>
          <w:b/>
          <w:color w:val="000000" w:themeColor="text1"/>
        </w:rPr>
      </w:pPr>
      <w:r>
        <w:rPr>
          <w:rFonts w:hint="eastAsia" w:asciiTheme="minorEastAsia" w:hAnsiTheme="minorEastAsia"/>
          <w:b/>
          <w:color w:val="000000" w:themeColor="text1"/>
        </w:rPr>
        <w:t>参考文献：</w:t>
      </w:r>
    </w:p>
    <w:sectPr>
      <w:footnotePr>
        <w:numFmt w:val="decimalEnclosedCircleChinese"/>
        <w:numRestart w:val="eachPage"/>
      </w:footnotePr>
      <w:endnotePr>
        <w:numFmt w:val="decimal"/>
      </w:endnote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id="0">
    <w:p>
      <w:pPr>
        <w:pStyle w:val="3"/>
        <w:spacing w:line="400" w:lineRule="exact"/>
        <w:jc w:val="both"/>
        <w:rPr>
          <w:rFonts w:asciiTheme="minorEastAsia" w:hAnsiTheme="minorEastAsia"/>
          <w:sz w:val="18"/>
          <w:szCs w:val="18"/>
        </w:rPr>
      </w:pPr>
      <w:r>
        <w:rPr>
          <w:rStyle w:val="11"/>
          <w:rFonts w:asciiTheme="minorEastAsia" w:hAnsiTheme="minorEastAsia"/>
          <w:sz w:val="18"/>
          <w:szCs w:val="18"/>
        </w:rPr>
        <w:t>[</w:t>
      </w:r>
      <w:r>
        <w:rPr>
          <w:rStyle w:val="11"/>
          <w:rFonts w:asciiTheme="minorEastAsia" w:hAnsiTheme="minorEastAsia"/>
          <w:sz w:val="18"/>
          <w:szCs w:val="18"/>
        </w:rPr>
        <w:endnoteRef/>
      </w:r>
      <w:r>
        <w:rPr>
          <w:rStyle w:val="11"/>
          <w:rFonts w:asciiTheme="minorEastAsia" w:hAnsiTheme="minorEastAsia"/>
          <w:sz w:val="18"/>
          <w:szCs w:val="18"/>
        </w:rPr>
        <w:t>]</w:t>
      </w:r>
      <w:r>
        <w:rPr>
          <w:rFonts w:hint="eastAsia" w:asciiTheme="minorEastAsia" w:hAnsiTheme="minorEastAsia"/>
          <w:sz w:val="18"/>
          <w:szCs w:val="18"/>
        </w:rPr>
        <w:t xml:space="preserve"> </w:t>
      </w:r>
      <w:r>
        <w:rPr>
          <w:rFonts w:cs="Arial" w:asciiTheme="minorEastAsia" w:hAnsiTheme="minorEastAsia"/>
          <w:color w:val="000000"/>
          <w:sz w:val="18"/>
          <w:szCs w:val="18"/>
          <w:shd w:val="clear" w:color="auto" w:fill="FFFFFF"/>
        </w:rPr>
        <w:t>罗国杰</w:t>
      </w:r>
      <w:r>
        <w:rPr>
          <w:rFonts w:hint="eastAsia" w:cs="Arial" w:asciiTheme="minorEastAsia" w:hAnsiTheme="minorEastAsia"/>
          <w:color w:val="000000"/>
          <w:sz w:val="18"/>
          <w:szCs w:val="18"/>
          <w:shd w:val="clear" w:color="auto" w:fill="FFFFFF"/>
        </w:rPr>
        <w:t>.</w:t>
      </w:r>
      <w:r>
        <w:rPr>
          <w:rFonts w:cs="Arial" w:asciiTheme="minorEastAsia" w:hAnsiTheme="minorEastAsia"/>
          <w:color w:val="000000"/>
          <w:sz w:val="18"/>
          <w:szCs w:val="18"/>
          <w:shd w:val="clear" w:color="auto" w:fill="FFFFFF"/>
        </w:rPr>
        <w:t>论“业师”和“人师”——谈谈教师的人格魅力和学术魅力[J].中国高校社会科学</w:t>
      </w:r>
      <w:r>
        <w:rPr>
          <w:rFonts w:hint="eastAsia" w:cs="Arial" w:asciiTheme="minorEastAsia" w:hAnsiTheme="minorEastAsia"/>
          <w:color w:val="000000"/>
          <w:sz w:val="18"/>
          <w:szCs w:val="18"/>
          <w:shd w:val="clear" w:color="auto" w:fill="FFFFFF"/>
        </w:rPr>
        <w:t>，</w:t>
      </w:r>
      <w:r>
        <w:rPr>
          <w:rFonts w:cs="Arial" w:asciiTheme="minorEastAsia" w:hAnsiTheme="minorEastAsia"/>
          <w:color w:val="000000"/>
          <w:sz w:val="18"/>
          <w:szCs w:val="18"/>
          <w:shd w:val="clear" w:color="auto" w:fill="FFFFFF"/>
        </w:rPr>
        <w:t>2013</w:t>
      </w:r>
      <w:r>
        <w:rPr>
          <w:rFonts w:hint="eastAsia" w:cs="Arial" w:asciiTheme="minorEastAsia" w:hAnsiTheme="minorEastAsia"/>
          <w:color w:val="000000"/>
          <w:sz w:val="18"/>
          <w:szCs w:val="18"/>
          <w:shd w:val="clear" w:color="auto" w:fill="FFFFFF"/>
          <w:lang w:eastAsia="zh-CN"/>
        </w:rPr>
        <w:t>，</w:t>
      </w:r>
      <w:r>
        <w:rPr>
          <w:rFonts w:hint="eastAsia" w:cs="Arial" w:asciiTheme="minorEastAsia" w:hAnsiTheme="minorEastAsia"/>
          <w:color w:val="000000"/>
          <w:sz w:val="18"/>
          <w:szCs w:val="18"/>
          <w:shd w:val="clear" w:color="auto" w:fill="FFFFFF"/>
        </w:rPr>
        <w:t>（1）：</w:t>
      </w:r>
      <w:r>
        <w:rPr>
          <w:rFonts w:cs="Arial" w:asciiTheme="minorEastAsia" w:hAnsiTheme="minorEastAsia"/>
          <w:color w:val="000000"/>
          <w:sz w:val="18"/>
          <w:szCs w:val="18"/>
          <w:shd w:val="clear" w:color="auto" w:fill="FFFFFF"/>
        </w:rPr>
        <w:t>15-17.</w:t>
      </w:r>
    </w:p>
  </w:endnote>
  <w:endnote w:id="1">
    <w:p>
      <w:pPr>
        <w:pStyle w:val="3"/>
        <w:spacing w:line="400" w:lineRule="exact"/>
        <w:jc w:val="both"/>
        <w:rPr>
          <w:rFonts w:asciiTheme="minorEastAsia" w:hAnsiTheme="minorEastAsia"/>
          <w:sz w:val="18"/>
          <w:szCs w:val="18"/>
        </w:rPr>
      </w:pPr>
      <w:r>
        <w:rPr>
          <w:rStyle w:val="11"/>
          <w:rFonts w:asciiTheme="minorEastAsia" w:hAnsiTheme="minorEastAsia"/>
          <w:sz w:val="18"/>
          <w:szCs w:val="18"/>
        </w:rPr>
        <w:t>[</w:t>
      </w:r>
      <w:r>
        <w:rPr>
          <w:rStyle w:val="11"/>
          <w:rFonts w:asciiTheme="minorEastAsia" w:hAnsiTheme="minorEastAsia"/>
          <w:sz w:val="18"/>
          <w:szCs w:val="18"/>
        </w:rPr>
        <w:endnoteRef/>
      </w:r>
      <w:r>
        <w:rPr>
          <w:rStyle w:val="11"/>
          <w:rFonts w:asciiTheme="minorEastAsia" w:hAnsiTheme="minorEastAsia"/>
          <w:sz w:val="18"/>
          <w:szCs w:val="18"/>
        </w:rPr>
        <w:t>]</w:t>
      </w:r>
      <w:r>
        <w:rPr>
          <w:rFonts w:asciiTheme="minorEastAsia" w:hAnsiTheme="minorEastAsia"/>
          <w:sz w:val="18"/>
          <w:szCs w:val="18"/>
        </w:rPr>
        <w:t xml:space="preserve"> </w:t>
      </w:r>
      <w:r>
        <w:rPr>
          <w:rFonts w:cs="Arial" w:asciiTheme="minorEastAsia" w:hAnsiTheme="minorEastAsia"/>
          <w:color w:val="000000"/>
          <w:sz w:val="18"/>
          <w:szCs w:val="18"/>
          <w:shd w:val="clear" w:color="auto" w:fill="FFFFFF"/>
        </w:rPr>
        <w:t>姚雯吉.基于业师模式的工业设计专业实践类课程的实践与研究——以《模型制作》课程为例[J].课程教育研究</w:t>
      </w:r>
      <w:r>
        <w:rPr>
          <w:rFonts w:hint="eastAsia" w:cs="Arial" w:asciiTheme="minorEastAsia" w:hAnsiTheme="minorEastAsia"/>
          <w:color w:val="000000"/>
          <w:sz w:val="18"/>
          <w:szCs w:val="18"/>
          <w:shd w:val="clear" w:color="auto" w:fill="FFFFFF"/>
        </w:rPr>
        <w:t>，</w:t>
      </w:r>
      <w:r>
        <w:rPr>
          <w:rFonts w:cs="Arial" w:asciiTheme="minorEastAsia" w:hAnsiTheme="minorEastAsia"/>
          <w:color w:val="000000"/>
          <w:sz w:val="18"/>
          <w:szCs w:val="18"/>
          <w:shd w:val="clear" w:color="auto" w:fill="FFFFFF"/>
        </w:rPr>
        <w:t>2017</w:t>
      </w:r>
      <w:r>
        <w:rPr>
          <w:rFonts w:hint="eastAsia" w:cs="Arial" w:asciiTheme="minorEastAsia" w:hAnsiTheme="minorEastAsia"/>
          <w:color w:val="000000"/>
          <w:sz w:val="18"/>
          <w:szCs w:val="18"/>
          <w:shd w:val="clear" w:color="auto" w:fill="FFFFFF"/>
          <w:lang w:eastAsia="zh-CN"/>
        </w:rPr>
        <w:t>，</w:t>
      </w:r>
      <w:r>
        <w:rPr>
          <w:rFonts w:hint="eastAsia" w:cs="Arial" w:asciiTheme="minorEastAsia" w:hAnsiTheme="minorEastAsia"/>
          <w:color w:val="000000"/>
          <w:sz w:val="18"/>
          <w:szCs w:val="18"/>
          <w:shd w:val="clear" w:color="auto" w:fill="FFFFFF"/>
        </w:rPr>
        <w:t>（14）</w:t>
      </w:r>
      <w:r>
        <w:rPr>
          <w:rFonts w:hint="eastAsia" w:cs="Arial" w:asciiTheme="minorEastAsia" w:hAnsiTheme="minorEastAsia"/>
          <w:color w:val="000000"/>
          <w:sz w:val="18"/>
          <w:szCs w:val="18"/>
          <w:shd w:val="clear" w:color="auto" w:fill="FFFFFF"/>
          <w:lang w:eastAsia="zh-CN"/>
        </w:rPr>
        <w:t>：</w:t>
      </w:r>
      <w:r>
        <w:rPr>
          <w:rFonts w:hint="eastAsia" w:cs="Arial" w:asciiTheme="minorEastAsia" w:hAnsiTheme="minorEastAsia"/>
          <w:color w:val="000000"/>
          <w:sz w:val="18"/>
          <w:szCs w:val="18"/>
          <w:shd w:val="clear" w:color="auto" w:fill="FFFFFF"/>
          <w:lang w:val="en-US" w:eastAsia="zh-CN"/>
        </w:rPr>
        <w:t>16</w:t>
      </w:r>
      <w:r>
        <w:rPr>
          <w:rFonts w:cs="Arial" w:asciiTheme="minorEastAsia" w:hAnsiTheme="minorEastAsia"/>
          <w:color w:val="000000"/>
          <w:sz w:val="18"/>
          <w:szCs w:val="18"/>
          <w:shd w:val="clear" w:color="auto" w:fill="FFFFFF"/>
        </w:rPr>
        <w:t>.</w:t>
      </w:r>
    </w:p>
  </w:endnote>
  <w:endnote w:id="2">
    <w:p>
      <w:pPr>
        <w:pStyle w:val="3"/>
        <w:spacing w:line="400" w:lineRule="exact"/>
        <w:jc w:val="both"/>
        <w:rPr>
          <w:rFonts w:asciiTheme="minorEastAsia" w:hAnsiTheme="minorEastAsia"/>
          <w:sz w:val="18"/>
          <w:szCs w:val="18"/>
        </w:rPr>
      </w:pPr>
      <w:r>
        <w:rPr>
          <w:rStyle w:val="11"/>
          <w:rFonts w:asciiTheme="minorEastAsia" w:hAnsiTheme="minorEastAsia"/>
          <w:sz w:val="18"/>
          <w:szCs w:val="18"/>
        </w:rPr>
        <w:t>[</w:t>
      </w:r>
      <w:r>
        <w:rPr>
          <w:rStyle w:val="11"/>
          <w:rFonts w:asciiTheme="minorEastAsia" w:hAnsiTheme="minorEastAsia"/>
          <w:sz w:val="18"/>
          <w:szCs w:val="18"/>
        </w:rPr>
        <w:endnoteRef/>
      </w:r>
      <w:r>
        <w:rPr>
          <w:rStyle w:val="11"/>
          <w:rFonts w:asciiTheme="minorEastAsia" w:hAnsiTheme="minorEastAsia"/>
          <w:sz w:val="18"/>
          <w:szCs w:val="18"/>
        </w:rPr>
        <w:t>]</w:t>
      </w:r>
      <w:r>
        <w:rPr>
          <w:rFonts w:hint="eastAsia" w:asciiTheme="minorEastAsia" w:hAnsiTheme="minorEastAsia"/>
          <w:sz w:val="18"/>
          <w:szCs w:val="18"/>
        </w:rPr>
        <w:t xml:space="preserve"> [德]哈肯</w:t>
      </w:r>
      <w:r>
        <w:rPr>
          <w:rFonts w:cs="Arial" w:asciiTheme="minorEastAsia" w:hAnsiTheme="minorEastAsia"/>
          <w:color w:val="000000"/>
          <w:sz w:val="18"/>
          <w:szCs w:val="18"/>
          <w:shd w:val="clear" w:color="auto" w:fill="FFFFFF"/>
        </w:rPr>
        <w:t>.</w:t>
      </w:r>
      <w:r>
        <w:rPr>
          <w:rFonts w:hint="eastAsia" w:cs="Arial" w:asciiTheme="minorEastAsia" w:hAnsiTheme="minorEastAsia"/>
          <w:color w:val="000000"/>
          <w:sz w:val="18"/>
          <w:szCs w:val="18"/>
          <w:shd w:val="clear" w:color="auto" w:fill="FFFFFF"/>
        </w:rPr>
        <w:t>徐锡申，陈式刚等译.协同学：引论：物理学、化学和生物学中的非平衡相变和自组织[M]</w:t>
      </w:r>
      <w:r>
        <w:rPr>
          <w:rFonts w:cs="Arial" w:asciiTheme="minorEastAsia" w:hAnsiTheme="minorEastAsia"/>
          <w:color w:val="000000"/>
          <w:sz w:val="18"/>
          <w:szCs w:val="18"/>
          <w:shd w:val="clear" w:color="auto" w:fill="FFFFFF"/>
        </w:rPr>
        <w:t>.</w:t>
      </w:r>
      <w:r>
        <w:rPr>
          <w:rFonts w:hint="eastAsia" w:cs="Arial" w:asciiTheme="minorEastAsia" w:hAnsiTheme="minorEastAsia"/>
          <w:color w:val="000000"/>
          <w:sz w:val="18"/>
          <w:szCs w:val="18"/>
          <w:shd w:val="clear" w:color="auto" w:fill="FFFFFF"/>
        </w:rPr>
        <w:t>北京：原子能出版社，1984:5.</w:t>
      </w:r>
    </w:p>
  </w:endnote>
  <w:endnote w:id="3">
    <w:p>
      <w:pPr>
        <w:pStyle w:val="3"/>
        <w:spacing w:line="400" w:lineRule="exact"/>
        <w:jc w:val="both"/>
        <w:rPr>
          <w:rFonts w:asciiTheme="minorEastAsia" w:hAnsiTheme="minorEastAsia"/>
          <w:sz w:val="18"/>
          <w:szCs w:val="18"/>
        </w:rPr>
      </w:pPr>
      <w:r>
        <w:rPr>
          <w:rStyle w:val="11"/>
          <w:rFonts w:asciiTheme="minorEastAsia" w:hAnsiTheme="minorEastAsia"/>
          <w:sz w:val="18"/>
          <w:szCs w:val="18"/>
        </w:rPr>
        <w:t>[</w:t>
      </w:r>
      <w:r>
        <w:rPr>
          <w:rStyle w:val="11"/>
          <w:rFonts w:asciiTheme="minorEastAsia" w:hAnsiTheme="minorEastAsia"/>
          <w:sz w:val="18"/>
          <w:szCs w:val="18"/>
        </w:rPr>
        <w:endnoteRef/>
      </w:r>
      <w:r>
        <w:rPr>
          <w:rStyle w:val="11"/>
          <w:rFonts w:asciiTheme="minorEastAsia" w:hAnsiTheme="minorEastAsia"/>
          <w:sz w:val="18"/>
          <w:szCs w:val="18"/>
        </w:rPr>
        <w:t>]</w:t>
      </w:r>
      <w:r>
        <w:rPr>
          <w:rFonts w:hint="eastAsia" w:asciiTheme="minorEastAsia" w:hAnsiTheme="minorEastAsia"/>
          <w:sz w:val="18"/>
          <w:szCs w:val="18"/>
        </w:rPr>
        <w:t xml:space="preserve"> </w:t>
      </w:r>
      <w:r>
        <w:rPr>
          <w:rFonts w:cs="Arial" w:asciiTheme="minorEastAsia" w:hAnsiTheme="minorEastAsia"/>
          <w:color w:val="000000"/>
          <w:sz w:val="18"/>
          <w:szCs w:val="18"/>
          <w:shd w:val="clear" w:color="auto" w:fill="FFFFFF"/>
        </w:rPr>
        <w:t>马钧</w:t>
      </w:r>
      <w:r>
        <w:rPr>
          <w:rFonts w:hint="eastAsia" w:cs="Arial" w:asciiTheme="minorEastAsia" w:hAnsiTheme="minorEastAsia"/>
          <w:color w:val="000000"/>
          <w:sz w:val="18"/>
          <w:szCs w:val="18"/>
          <w:shd w:val="clear" w:color="auto" w:fill="FFFFFF"/>
        </w:rPr>
        <w:t>，</w:t>
      </w:r>
      <w:r>
        <w:rPr>
          <w:rFonts w:cs="Arial" w:asciiTheme="minorEastAsia" w:hAnsiTheme="minorEastAsia"/>
          <w:color w:val="000000"/>
          <w:sz w:val="18"/>
          <w:szCs w:val="18"/>
          <w:shd w:val="clear" w:color="auto" w:fill="FFFFFF"/>
        </w:rPr>
        <w:t>胡先飞.协同理论视域下的“以队促班”体系构建[J].教育科学论坛</w:t>
      </w:r>
      <w:r>
        <w:rPr>
          <w:rFonts w:hint="eastAsia" w:cs="Arial" w:asciiTheme="minorEastAsia" w:hAnsiTheme="minorEastAsia"/>
          <w:color w:val="000000"/>
          <w:sz w:val="18"/>
          <w:szCs w:val="18"/>
          <w:shd w:val="clear" w:color="auto" w:fill="FFFFFF"/>
        </w:rPr>
        <w:t>，</w:t>
      </w:r>
      <w:r>
        <w:rPr>
          <w:rFonts w:cs="Arial" w:asciiTheme="minorEastAsia" w:hAnsiTheme="minorEastAsia"/>
          <w:color w:val="000000"/>
          <w:sz w:val="18"/>
          <w:szCs w:val="18"/>
          <w:shd w:val="clear" w:color="auto" w:fill="FFFFFF"/>
        </w:rPr>
        <w:t>2017</w:t>
      </w:r>
      <w:r>
        <w:rPr>
          <w:rFonts w:hint="eastAsia" w:cs="Arial" w:asciiTheme="minorEastAsia" w:hAnsiTheme="minorEastAsia"/>
          <w:color w:val="000000"/>
          <w:sz w:val="18"/>
          <w:szCs w:val="18"/>
          <w:shd w:val="clear" w:color="auto" w:fill="FFFFFF"/>
          <w:lang w:eastAsia="zh-CN"/>
        </w:rPr>
        <w:t>，</w:t>
      </w:r>
      <w:r>
        <w:rPr>
          <w:rFonts w:hint="eastAsia" w:cs="Arial" w:asciiTheme="minorEastAsia" w:hAnsiTheme="minorEastAsia"/>
          <w:color w:val="000000"/>
          <w:sz w:val="18"/>
          <w:szCs w:val="18"/>
          <w:shd w:val="clear" w:color="auto" w:fill="FFFFFF"/>
        </w:rPr>
        <w:t>（5）</w:t>
      </w:r>
      <w:r>
        <w:rPr>
          <w:rFonts w:cs="Arial" w:asciiTheme="minorEastAsia" w:hAnsiTheme="minorEastAsia"/>
          <w:color w:val="000000"/>
          <w:sz w:val="18"/>
          <w:szCs w:val="18"/>
          <w:shd w:val="clear" w:color="auto" w:fill="FFFFFF"/>
        </w:rPr>
        <w:t>:66-68.</w:t>
      </w:r>
    </w:p>
  </w:endnote>
  <w:endnote w:id="4">
    <w:p>
      <w:pPr>
        <w:pStyle w:val="3"/>
        <w:spacing w:line="400" w:lineRule="exact"/>
        <w:jc w:val="both"/>
        <w:rPr>
          <w:rFonts w:asciiTheme="minorEastAsia" w:hAnsiTheme="minorEastAsia"/>
          <w:sz w:val="18"/>
          <w:szCs w:val="18"/>
        </w:rPr>
      </w:pPr>
      <w:r>
        <w:rPr>
          <w:rStyle w:val="11"/>
          <w:rFonts w:asciiTheme="minorEastAsia" w:hAnsiTheme="minorEastAsia"/>
          <w:sz w:val="18"/>
          <w:szCs w:val="18"/>
        </w:rPr>
        <w:t>[</w:t>
      </w:r>
      <w:r>
        <w:rPr>
          <w:rStyle w:val="11"/>
          <w:rFonts w:asciiTheme="minorEastAsia" w:hAnsiTheme="minorEastAsia"/>
          <w:sz w:val="18"/>
          <w:szCs w:val="18"/>
        </w:rPr>
        <w:endnoteRef/>
      </w:r>
      <w:r>
        <w:rPr>
          <w:rStyle w:val="11"/>
          <w:rFonts w:asciiTheme="minorEastAsia" w:hAnsiTheme="minorEastAsia"/>
          <w:sz w:val="18"/>
          <w:szCs w:val="18"/>
        </w:rPr>
        <w:t>]</w:t>
      </w:r>
      <w:r>
        <w:rPr>
          <w:rFonts w:hint="eastAsia" w:asciiTheme="minorEastAsia" w:hAnsiTheme="minorEastAsia"/>
          <w:sz w:val="18"/>
          <w:szCs w:val="18"/>
        </w:rPr>
        <w:t xml:space="preserve"> </w:t>
      </w:r>
      <w:r>
        <w:rPr>
          <w:rFonts w:cs="Arial" w:asciiTheme="minorEastAsia" w:hAnsiTheme="minorEastAsia"/>
          <w:color w:val="000000"/>
          <w:sz w:val="18"/>
          <w:szCs w:val="18"/>
          <w:shd w:val="clear" w:color="auto" w:fill="FFFFFF"/>
        </w:rPr>
        <w:t>谢仁海</w:t>
      </w:r>
      <w:r>
        <w:rPr>
          <w:rFonts w:hint="eastAsia" w:cs="Arial" w:asciiTheme="minorEastAsia" w:hAnsiTheme="minorEastAsia"/>
          <w:color w:val="000000"/>
          <w:sz w:val="18"/>
          <w:szCs w:val="18"/>
          <w:shd w:val="clear" w:color="auto" w:fill="FFFFFF"/>
        </w:rPr>
        <w:t>，</w:t>
      </w:r>
      <w:r>
        <w:rPr>
          <w:rFonts w:cs="Arial" w:asciiTheme="minorEastAsia" w:hAnsiTheme="minorEastAsia"/>
          <w:color w:val="000000"/>
          <w:sz w:val="18"/>
          <w:szCs w:val="18"/>
          <w:shd w:val="clear" w:color="auto" w:fill="FFFFFF"/>
        </w:rPr>
        <w:t>刘同君.基于协同理论视角的创新型人才培养机制研究[J].黑龙江高教研究</w:t>
      </w:r>
      <w:r>
        <w:rPr>
          <w:rFonts w:hint="eastAsia" w:cs="Arial" w:asciiTheme="minorEastAsia" w:hAnsiTheme="minorEastAsia"/>
          <w:color w:val="000000"/>
          <w:sz w:val="18"/>
          <w:szCs w:val="18"/>
          <w:shd w:val="clear" w:color="auto" w:fill="FFFFFF"/>
        </w:rPr>
        <w:t>，</w:t>
      </w:r>
      <w:r>
        <w:rPr>
          <w:rFonts w:cs="Arial" w:asciiTheme="minorEastAsia" w:hAnsiTheme="minorEastAsia"/>
          <w:color w:val="000000"/>
          <w:sz w:val="18"/>
          <w:szCs w:val="18"/>
          <w:shd w:val="clear" w:color="auto" w:fill="FFFFFF"/>
        </w:rPr>
        <w:t>2017</w:t>
      </w:r>
      <w:r>
        <w:rPr>
          <w:rFonts w:hint="eastAsia" w:cs="Arial" w:asciiTheme="minorEastAsia" w:hAnsiTheme="minorEastAsia"/>
          <w:color w:val="000000"/>
          <w:sz w:val="18"/>
          <w:szCs w:val="18"/>
          <w:shd w:val="clear" w:color="auto" w:fill="FFFFFF"/>
          <w:lang w:eastAsia="zh-CN"/>
        </w:rPr>
        <w:t>，</w:t>
      </w:r>
      <w:r>
        <w:rPr>
          <w:rFonts w:hint="eastAsia" w:cs="Arial" w:asciiTheme="minorEastAsia" w:hAnsiTheme="minorEastAsia"/>
          <w:color w:val="000000"/>
          <w:sz w:val="18"/>
          <w:szCs w:val="18"/>
          <w:shd w:val="clear" w:color="auto" w:fill="FFFFFF"/>
        </w:rPr>
        <w:t>（8）</w:t>
      </w:r>
      <w:r>
        <w:rPr>
          <w:rFonts w:cs="Arial" w:asciiTheme="minorEastAsia" w:hAnsiTheme="minorEastAsia"/>
          <w:color w:val="000000"/>
          <w:sz w:val="18"/>
          <w:szCs w:val="18"/>
          <w:shd w:val="clear" w:color="auto" w:fill="FFFFFF"/>
        </w:rPr>
        <w:t>:123-125.</w:t>
      </w:r>
    </w:p>
  </w:endnote>
  <w:endnote w:id="5">
    <w:p>
      <w:pPr>
        <w:pStyle w:val="3"/>
        <w:spacing w:line="400" w:lineRule="exact"/>
        <w:jc w:val="both"/>
        <w:rPr>
          <w:rFonts w:asciiTheme="minorEastAsia" w:hAnsiTheme="minorEastAsia"/>
          <w:sz w:val="18"/>
          <w:szCs w:val="18"/>
        </w:rPr>
      </w:pPr>
      <w:r>
        <w:rPr>
          <w:rStyle w:val="11"/>
          <w:rFonts w:asciiTheme="minorEastAsia" w:hAnsiTheme="minorEastAsia"/>
          <w:sz w:val="18"/>
          <w:szCs w:val="18"/>
        </w:rPr>
        <w:t>[</w:t>
      </w:r>
      <w:r>
        <w:rPr>
          <w:rStyle w:val="11"/>
          <w:rFonts w:asciiTheme="minorEastAsia" w:hAnsiTheme="minorEastAsia"/>
          <w:sz w:val="18"/>
          <w:szCs w:val="18"/>
        </w:rPr>
        <w:endnoteRef/>
      </w:r>
      <w:r>
        <w:rPr>
          <w:rStyle w:val="11"/>
          <w:rFonts w:asciiTheme="minorEastAsia" w:hAnsiTheme="minorEastAsia"/>
          <w:sz w:val="18"/>
          <w:szCs w:val="18"/>
        </w:rPr>
        <w:t>]</w:t>
      </w:r>
      <w:r>
        <w:rPr>
          <w:rFonts w:hint="eastAsia" w:asciiTheme="minorEastAsia" w:hAnsiTheme="minorEastAsia"/>
          <w:sz w:val="18"/>
          <w:szCs w:val="18"/>
        </w:rPr>
        <w:t xml:space="preserve"> </w:t>
      </w:r>
      <w:r>
        <w:rPr>
          <w:rFonts w:hint="eastAsia" w:asciiTheme="minorEastAsia" w:hAnsiTheme="minorEastAsia"/>
          <w:color w:val="000000" w:themeColor="text1"/>
          <w:sz w:val="18"/>
          <w:szCs w:val="18"/>
        </w:rPr>
        <w:t>王素芸.协同教学的意义、特质与类型[J].台湾：教育研究与发展期刊，2009</w:t>
      </w:r>
      <w:r>
        <w:rPr>
          <w:rFonts w:hint="eastAsia" w:asciiTheme="minorEastAsia" w:hAnsiTheme="minorEastAsia"/>
          <w:color w:val="000000" w:themeColor="text1"/>
          <w:sz w:val="18"/>
          <w:szCs w:val="18"/>
          <w:lang w:eastAsia="zh-CN"/>
        </w:rPr>
        <w:t>，</w:t>
      </w:r>
      <w:r>
        <w:rPr>
          <w:rFonts w:hint="eastAsia" w:asciiTheme="minorEastAsia" w:hAnsiTheme="minorEastAsia"/>
          <w:color w:val="000000" w:themeColor="text1"/>
          <w:sz w:val="18"/>
          <w:szCs w:val="18"/>
        </w:rPr>
        <w:t>（6）：55-80.</w:t>
      </w:r>
    </w:p>
  </w:endnote>
  <w:endnote w:id="6">
    <w:p>
      <w:pPr>
        <w:spacing w:line="400" w:lineRule="exact"/>
        <w:jc w:val="left"/>
        <w:rPr>
          <w:rFonts w:ascii="Times New Roman" w:hAnsi="Times New Roman" w:cs="Times New Roman"/>
          <w:snapToGrid w:val="0"/>
          <w:color w:val="000000"/>
          <w:w w:val="0"/>
          <w:kern w:val="0"/>
          <w:sz w:val="0"/>
          <w:szCs w:val="0"/>
          <w:u w:color="000000"/>
          <w:shd w:val="clear" w:color="000000" w:fill="000000"/>
        </w:rPr>
      </w:pPr>
      <w:r>
        <w:rPr>
          <w:rStyle w:val="11"/>
          <w:rFonts w:asciiTheme="minorEastAsia" w:hAnsiTheme="minorEastAsia"/>
          <w:sz w:val="18"/>
          <w:szCs w:val="18"/>
        </w:rPr>
        <w:t>[</w:t>
      </w:r>
      <w:r>
        <w:rPr>
          <w:rStyle w:val="11"/>
          <w:rFonts w:asciiTheme="minorEastAsia" w:hAnsiTheme="minorEastAsia"/>
          <w:sz w:val="18"/>
          <w:szCs w:val="18"/>
        </w:rPr>
        <w:endnoteRef/>
      </w:r>
      <w:r>
        <w:rPr>
          <w:rStyle w:val="11"/>
          <w:rFonts w:asciiTheme="minorEastAsia" w:hAnsiTheme="minorEastAsia"/>
          <w:sz w:val="18"/>
          <w:szCs w:val="18"/>
        </w:rPr>
        <w:t>]</w:t>
      </w:r>
      <w:r>
        <w:rPr>
          <w:rFonts w:hint="eastAsia" w:asciiTheme="minorEastAsia" w:hAnsiTheme="minorEastAsia"/>
          <w:sz w:val="18"/>
          <w:szCs w:val="18"/>
        </w:rPr>
        <w:t xml:space="preserve"> </w:t>
      </w:r>
      <w:r>
        <w:rPr>
          <w:rFonts w:hint="eastAsia" w:ascii="宋体" w:hAnsi="宋体" w:eastAsia="宋体"/>
          <w:color w:val="000000" w:themeColor="text1"/>
          <w:sz w:val="18"/>
          <w:szCs w:val="18"/>
          <w:shd w:val="clear" w:color="auto" w:fill="FFFFFF"/>
        </w:rPr>
        <w:t>Buckley F.J. Team Teaching: What, Why, and How?[M].Thousand Oaks. CA：Sage Publications,2000.</w:t>
      </w:r>
      <w:r>
        <w:rPr>
          <w:rFonts w:ascii="Times New Roman" w:hAnsi="Times New Roman" w:eastAsia="Times New Roman" w:cs="Times New Roman"/>
          <w:snapToGrid w:val="0"/>
          <w:color w:val="000000" w:themeColor="text1"/>
          <w:w w:val="0"/>
          <w:kern w:val="0"/>
          <w:sz w:val="0"/>
          <w:szCs w:val="0"/>
          <w:u w:color="000000"/>
          <w:shd w:val="clear" w:color="000000" w:fill="000000"/>
        </w:rPr>
        <w:t xml:space="preserve"> </w:t>
      </w:r>
    </w:p>
  </w:endnote>
  <w:endnote w:id="7">
    <w:p>
      <w:pPr>
        <w:pStyle w:val="3"/>
        <w:spacing w:line="400" w:lineRule="exact"/>
        <w:jc w:val="both"/>
        <w:rPr>
          <w:rFonts w:asciiTheme="minorEastAsia" w:hAnsiTheme="minorEastAsia"/>
          <w:sz w:val="18"/>
          <w:szCs w:val="18"/>
        </w:rPr>
      </w:pPr>
      <w:r>
        <w:rPr>
          <w:rStyle w:val="11"/>
          <w:rFonts w:asciiTheme="minorEastAsia" w:hAnsiTheme="minorEastAsia"/>
          <w:sz w:val="18"/>
          <w:szCs w:val="18"/>
        </w:rPr>
        <w:t>[</w:t>
      </w:r>
      <w:r>
        <w:rPr>
          <w:rStyle w:val="11"/>
          <w:rFonts w:asciiTheme="minorEastAsia" w:hAnsiTheme="minorEastAsia"/>
          <w:sz w:val="18"/>
          <w:szCs w:val="18"/>
        </w:rPr>
        <w:endnoteRef/>
      </w:r>
      <w:r>
        <w:rPr>
          <w:rStyle w:val="11"/>
          <w:rFonts w:asciiTheme="minorEastAsia" w:hAnsiTheme="minorEastAsia"/>
          <w:sz w:val="18"/>
          <w:szCs w:val="18"/>
        </w:rPr>
        <w:t>]</w:t>
      </w:r>
      <w:r>
        <w:rPr>
          <w:rFonts w:hint="eastAsia" w:asciiTheme="minorEastAsia" w:hAnsiTheme="minorEastAsia"/>
          <w:sz w:val="18"/>
          <w:szCs w:val="18"/>
        </w:rPr>
        <w:t xml:space="preserve"> 王少非.协同教学：模式与策略[J].外国中小学教育，2005</w:t>
      </w:r>
      <w:r>
        <w:rPr>
          <w:rFonts w:hint="eastAsia" w:asciiTheme="minorEastAsia" w:hAnsiTheme="minorEastAsia"/>
          <w:sz w:val="18"/>
          <w:szCs w:val="18"/>
          <w:lang w:eastAsia="zh-CN"/>
        </w:rPr>
        <w:t>，</w:t>
      </w:r>
      <w:r>
        <w:rPr>
          <w:rFonts w:hint="eastAsia" w:asciiTheme="minorEastAsia" w:hAnsiTheme="minorEastAsia"/>
          <w:sz w:val="18"/>
          <w:szCs w:val="18"/>
        </w:rPr>
        <w:t>（3）：32-36.</w:t>
      </w:r>
    </w:p>
  </w:endnote>
  <w:endnote w:id="8">
    <w:p>
      <w:pPr>
        <w:pStyle w:val="3"/>
        <w:spacing w:line="400" w:lineRule="exact"/>
        <w:jc w:val="both"/>
        <w:rPr>
          <w:rFonts w:asciiTheme="minorEastAsia" w:hAnsiTheme="minorEastAsia"/>
          <w:sz w:val="18"/>
          <w:szCs w:val="18"/>
        </w:rPr>
      </w:pPr>
      <w:r>
        <w:rPr>
          <w:rStyle w:val="11"/>
          <w:rFonts w:asciiTheme="minorEastAsia" w:hAnsiTheme="minorEastAsia"/>
          <w:sz w:val="18"/>
          <w:szCs w:val="18"/>
        </w:rPr>
        <w:t>[</w:t>
      </w:r>
      <w:r>
        <w:rPr>
          <w:rStyle w:val="11"/>
          <w:rFonts w:asciiTheme="minorEastAsia" w:hAnsiTheme="minorEastAsia"/>
          <w:sz w:val="18"/>
          <w:szCs w:val="18"/>
        </w:rPr>
        <w:endnoteRef/>
      </w:r>
      <w:r>
        <w:rPr>
          <w:rStyle w:val="11"/>
          <w:rFonts w:asciiTheme="minorEastAsia" w:hAnsiTheme="minorEastAsia"/>
          <w:sz w:val="18"/>
          <w:szCs w:val="18"/>
        </w:rPr>
        <w:t>]</w:t>
      </w:r>
      <w:r>
        <w:rPr>
          <w:rFonts w:asciiTheme="minorEastAsia" w:hAnsiTheme="minorEastAsia"/>
          <w:sz w:val="18"/>
          <w:szCs w:val="18"/>
        </w:rPr>
        <w:t xml:space="preserve"> </w:t>
      </w:r>
      <w:r>
        <w:rPr>
          <w:rFonts w:hint="eastAsia" w:asciiTheme="minorEastAsia" w:hAnsiTheme="minorEastAsia"/>
          <w:sz w:val="18"/>
          <w:szCs w:val="18"/>
        </w:rPr>
        <w:t>刘颖.协同教学组织形式在综合课程中的实施探索[J].教育理论与实践，2008</w:t>
      </w:r>
      <w:r>
        <w:rPr>
          <w:rFonts w:hint="eastAsia" w:asciiTheme="minorEastAsia" w:hAnsiTheme="minorEastAsia"/>
          <w:sz w:val="18"/>
          <w:szCs w:val="18"/>
          <w:lang w:eastAsia="zh-CN"/>
        </w:rPr>
        <w:t>，</w:t>
      </w:r>
      <w:r>
        <w:rPr>
          <w:rFonts w:hint="eastAsia" w:asciiTheme="minorEastAsia" w:hAnsiTheme="minorEastAsia"/>
          <w:sz w:val="18"/>
          <w:szCs w:val="18"/>
        </w:rPr>
        <w:t>（4）：63-64.</w:t>
      </w:r>
    </w:p>
  </w:endnote>
  <w:endnote w:id="9">
    <w:p>
      <w:pPr>
        <w:pStyle w:val="3"/>
        <w:spacing w:line="400" w:lineRule="exact"/>
        <w:jc w:val="both"/>
        <w:rPr>
          <w:rFonts w:asciiTheme="minorEastAsia" w:hAnsiTheme="minorEastAsia"/>
          <w:color w:val="FF0000"/>
          <w:sz w:val="18"/>
          <w:szCs w:val="18"/>
        </w:rPr>
      </w:pPr>
      <w:r>
        <w:rPr>
          <w:rStyle w:val="11"/>
          <w:rFonts w:asciiTheme="minorEastAsia" w:hAnsiTheme="minorEastAsia"/>
          <w:sz w:val="18"/>
          <w:szCs w:val="18"/>
        </w:rPr>
        <w:t>[</w:t>
      </w:r>
      <w:r>
        <w:rPr>
          <w:rStyle w:val="11"/>
          <w:rFonts w:asciiTheme="minorEastAsia" w:hAnsiTheme="minorEastAsia"/>
          <w:color w:val="000000" w:themeColor="text1"/>
          <w:sz w:val="18"/>
          <w:szCs w:val="18"/>
        </w:rPr>
        <w:endnoteRef/>
      </w:r>
      <w:r>
        <w:rPr>
          <w:rStyle w:val="11"/>
          <w:rFonts w:asciiTheme="minorEastAsia" w:hAnsiTheme="minorEastAsia"/>
          <w:color w:val="000000" w:themeColor="text1"/>
          <w:sz w:val="18"/>
          <w:szCs w:val="18"/>
        </w:rPr>
        <w:t>]</w:t>
      </w:r>
      <w:r>
        <w:rPr>
          <w:rFonts w:asciiTheme="minorEastAsia" w:hAnsiTheme="minorEastAsia"/>
          <w:color w:val="000000" w:themeColor="text1"/>
          <w:sz w:val="18"/>
          <w:szCs w:val="18"/>
        </w:rPr>
        <w:t xml:space="preserve"> </w:t>
      </w:r>
      <w:r>
        <w:rPr>
          <w:rFonts w:cs="Arial" w:asciiTheme="minorEastAsia" w:hAnsiTheme="minorEastAsia"/>
          <w:color w:val="000000" w:themeColor="text1"/>
          <w:sz w:val="18"/>
          <w:szCs w:val="18"/>
          <w:shd w:val="clear" w:color="auto" w:fill="FFFFFF"/>
        </w:rPr>
        <w:t>钱丹洁</w:t>
      </w:r>
      <w:r>
        <w:rPr>
          <w:rFonts w:hint="eastAsia" w:cs="Arial" w:asciiTheme="minorEastAsia" w:hAnsiTheme="minorEastAsia"/>
          <w:color w:val="000000" w:themeColor="text1"/>
          <w:sz w:val="18"/>
          <w:szCs w:val="18"/>
          <w:shd w:val="clear" w:color="auto" w:fill="FFFFFF"/>
        </w:rPr>
        <w:t>，</w:t>
      </w:r>
      <w:r>
        <w:rPr>
          <w:rFonts w:cs="Arial" w:asciiTheme="minorEastAsia" w:hAnsiTheme="minorEastAsia"/>
          <w:color w:val="000000" w:themeColor="text1"/>
          <w:sz w:val="18"/>
          <w:szCs w:val="18"/>
          <w:shd w:val="clear" w:color="auto" w:fill="FFFFFF"/>
        </w:rPr>
        <w:t>张伟平.国内协同教学研究述评[J].教学与管理</w:t>
      </w:r>
      <w:r>
        <w:rPr>
          <w:rFonts w:hint="eastAsia" w:cs="Arial" w:asciiTheme="minorEastAsia" w:hAnsiTheme="minorEastAsia"/>
          <w:color w:val="000000" w:themeColor="text1"/>
          <w:sz w:val="18"/>
          <w:szCs w:val="18"/>
          <w:shd w:val="clear" w:color="auto" w:fill="FFFFFF"/>
        </w:rPr>
        <w:t>，</w:t>
      </w:r>
      <w:r>
        <w:rPr>
          <w:rFonts w:cs="Arial" w:asciiTheme="minorEastAsia" w:hAnsiTheme="minorEastAsia"/>
          <w:color w:val="000000" w:themeColor="text1"/>
          <w:sz w:val="18"/>
          <w:szCs w:val="18"/>
          <w:shd w:val="clear" w:color="auto" w:fill="FFFFFF"/>
        </w:rPr>
        <w:t>2012</w:t>
      </w:r>
      <w:r>
        <w:rPr>
          <w:rFonts w:hint="eastAsia" w:cs="Arial" w:asciiTheme="minorEastAsia" w:hAnsiTheme="minorEastAsia"/>
          <w:color w:val="000000" w:themeColor="text1"/>
          <w:sz w:val="18"/>
          <w:szCs w:val="18"/>
          <w:shd w:val="clear" w:color="auto" w:fill="FFFFFF"/>
          <w:lang w:eastAsia="zh-CN"/>
        </w:rPr>
        <w:t>，</w:t>
      </w:r>
      <w:r>
        <w:rPr>
          <w:rFonts w:hint="eastAsia" w:cs="Arial" w:asciiTheme="minorEastAsia" w:hAnsiTheme="minorEastAsia"/>
          <w:color w:val="000000" w:themeColor="text1"/>
          <w:sz w:val="18"/>
          <w:szCs w:val="18"/>
          <w:shd w:val="clear" w:color="auto" w:fill="FFFFFF"/>
        </w:rPr>
        <w:t>（15）：</w:t>
      </w:r>
      <w:r>
        <w:rPr>
          <w:rFonts w:cs="Arial" w:asciiTheme="minorEastAsia" w:hAnsiTheme="minorEastAsia"/>
          <w:color w:val="000000" w:themeColor="text1"/>
          <w:sz w:val="18"/>
          <w:szCs w:val="18"/>
          <w:shd w:val="clear" w:color="auto" w:fill="FFFFFF"/>
        </w:rPr>
        <w:t>3-6.</w:t>
      </w:r>
    </w:p>
  </w:endnote>
  <w:endnote w:id="10">
    <w:p>
      <w:pPr>
        <w:pStyle w:val="3"/>
        <w:spacing w:line="400" w:lineRule="exact"/>
        <w:jc w:val="both"/>
        <w:rPr>
          <w:rFonts w:asciiTheme="minorEastAsia" w:hAnsiTheme="minorEastAsia"/>
          <w:sz w:val="18"/>
          <w:szCs w:val="18"/>
        </w:rPr>
      </w:pPr>
      <w:r>
        <w:rPr>
          <w:rStyle w:val="11"/>
          <w:rFonts w:asciiTheme="minorEastAsia" w:hAnsiTheme="minorEastAsia"/>
          <w:sz w:val="18"/>
          <w:szCs w:val="18"/>
        </w:rPr>
        <w:t>[</w:t>
      </w:r>
      <w:r>
        <w:rPr>
          <w:rStyle w:val="11"/>
          <w:rFonts w:asciiTheme="minorEastAsia" w:hAnsiTheme="minorEastAsia"/>
          <w:sz w:val="18"/>
          <w:szCs w:val="18"/>
        </w:rPr>
        <w:endnoteRef/>
      </w:r>
      <w:r>
        <w:rPr>
          <w:rStyle w:val="11"/>
          <w:rFonts w:asciiTheme="minorEastAsia" w:hAnsiTheme="minorEastAsia"/>
          <w:sz w:val="18"/>
          <w:szCs w:val="18"/>
        </w:rPr>
        <w:t>]</w:t>
      </w:r>
      <w:r>
        <w:rPr>
          <w:rFonts w:asciiTheme="minorEastAsia" w:hAnsiTheme="minorEastAsia"/>
          <w:sz w:val="18"/>
          <w:szCs w:val="18"/>
        </w:rPr>
        <w:t xml:space="preserve"> </w:t>
      </w:r>
      <w:r>
        <w:rPr>
          <w:rFonts w:hint="eastAsia" w:ascii="宋体" w:hAnsi="宋体" w:eastAsia="宋体"/>
          <w:color w:val="000000"/>
          <w:sz w:val="18"/>
          <w:szCs w:val="18"/>
          <w:shd w:val="clear" w:color="auto" w:fill="FFFFFF"/>
        </w:rPr>
        <w:t>钱焕琦，刘云林.中国教育伦理学[M].徐州：中国矿业大学出版社，2000：127</w:t>
      </w:r>
      <w:r>
        <w:rPr>
          <w:rFonts w:hint="eastAsia" w:ascii="宋体" w:hAnsi="宋体" w:eastAsia="宋体"/>
          <w:sz w:val="18"/>
          <w:szCs w:val="18"/>
        </w:rPr>
        <w:t>.</w:t>
      </w:r>
    </w:p>
  </w:endnote>
  <w:endnote w:id="11">
    <w:p>
      <w:pPr>
        <w:pStyle w:val="3"/>
        <w:spacing w:line="400" w:lineRule="exact"/>
        <w:jc w:val="both"/>
        <w:rPr>
          <w:rFonts w:asciiTheme="minorEastAsia" w:hAnsiTheme="minorEastAsia"/>
          <w:sz w:val="18"/>
          <w:szCs w:val="18"/>
        </w:rPr>
      </w:pPr>
      <w:r>
        <w:rPr>
          <w:rStyle w:val="11"/>
          <w:rFonts w:asciiTheme="minorEastAsia" w:hAnsiTheme="minorEastAsia"/>
          <w:sz w:val="18"/>
          <w:szCs w:val="18"/>
        </w:rPr>
        <w:t>[</w:t>
      </w:r>
      <w:r>
        <w:rPr>
          <w:rStyle w:val="11"/>
          <w:rFonts w:asciiTheme="minorEastAsia" w:hAnsiTheme="minorEastAsia"/>
          <w:sz w:val="18"/>
          <w:szCs w:val="18"/>
        </w:rPr>
        <w:endnoteRef/>
      </w:r>
      <w:r>
        <w:rPr>
          <w:rStyle w:val="11"/>
          <w:rFonts w:asciiTheme="minorEastAsia" w:hAnsiTheme="minorEastAsia"/>
          <w:sz w:val="18"/>
          <w:szCs w:val="18"/>
        </w:rPr>
        <w:t>]</w:t>
      </w:r>
      <w:r>
        <w:rPr>
          <w:rFonts w:hint="eastAsia" w:asciiTheme="minorEastAsia" w:hAnsiTheme="minorEastAsia"/>
          <w:sz w:val="18"/>
          <w:szCs w:val="18"/>
        </w:rPr>
        <w:t xml:space="preserve"> </w:t>
      </w:r>
      <w:r>
        <w:rPr>
          <w:rFonts w:asciiTheme="minorEastAsia" w:hAnsiTheme="minorEastAsia"/>
          <w:sz w:val="18"/>
          <w:szCs w:val="18"/>
        </w:rPr>
        <w:t>瞿孜文.台湾业师协同教学制度浅谈[J].品牌(下半月)</w:t>
      </w:r>
      <w:r>
        <w:rPr>
          <w:rFonts w:hint="eastAsia" w:asciiTheme="minorEastAsia" w:hAnsiTheme="minorEastAsia"/>
          <w:sz w:val="18"/>
          <w:szCs w:val="18"/>
        </w:rPr>
        <w:t>，</w:t>
      </w:r>
      <w:r>
        <w:rPr>
          <w:rFonts w:asciiTheme="minorEastAsia" w:hAnsiTheme="minorEastAsia"/>
          <w:sz w:val="18"/>
          <w:szCs w:val="18"/>
        </w:rPr>
        <w:t>2014</w:t>
      </w:r>
      <w:r>
        <w:rPr>
          <w:rFonts w:hint="eastAsia" w:asciiTheme="minorEastAsia" w:hAnsiTheme="minorEastAsia"/>
          <w:sz w:val="18"/>
          <w:szCs w:val="18"/>
          <w:lang w:eastAsia="zh-CN"/>
        </w:rPr>
        <w:t>，</w:t>
      </w:r>
      <w:r>
        <w:rPr>
          <w:rFonts w:hint="eastAsia" w:asciiTheme="minorEastAsia" w:hAnsiTheme="minorEastAsia"/>
          <w:sz w:val="18"/>
          <w:szCs w:val="18"/>
        </w:rPr>
        <w:t>（12）：277</w:t>
      </w:r>
      <w:r>
        <w:rPr>
          <w:rFonts w:asciiTheme="minorEastAsia" w:hAnsiTheme="minorEastAsia"/>
          <w:sz w:val="18"/>
          <w:szCs w:val="18"/>
        </w:rPr>
        <w:t>.</w:t>
      </w:r>
    </w:p>
  </w:endnote>
  <w:endnote w:id="12">
    <w:p>
      <w:pPr>
        <w:pStyle w:val="3"/>
        <w:spacing w:line="400" w:lineRule="exact"/>
        <w:jc w:val="both"/>
        <w:rPr>
          <w:rFonts w:ascii="宋体" w:hAnsi="宋体" w:eastAsia="宋体"/>
          <w:sz w:val="18"/>
          <w:szCs w:val="18"/>
        </w:rPr>
      </w:pPr>
      <w:r>
        <w:rPr>
          <w:rStyle w:val="11"/>
          <w:rFonts w:asciiTheme="minorEastAsia" w:hAnsiTheme="minorEastAsia"/>
          <w:sz w:val="18"/>
          <w:szCs w:val="18"/>
        </w:rPr>
        <w:t>[</w:t>
      </w:r>
      <w:r>
        <w:rPr>
          <w:rStyle w:val="11"/>
          <w:rFonts w:asciiTheme="minorEastAsia" w:hAnsiTheme="minorEastAsia"/>
          <w:sz w:val="18"/>
          <w:szCs w:val="18"/>
        </w:rPr>
        <w:endnoteRef/>
      </w:r>
      <w:r>
        <w:rPr>
          <w:rStyle w:val="11"/>
          <w:rFonts w:asciiTheme="minorEastAsia" w:hAnsiTheme="minorEastAsia"/>
          <w:sz w:val="18"/>
          <w:szCs w:val="18"/>
        </w:rPr>
        <w:t>]</w:t>
      </w:r>
      <w:r>
        <w:rPr>
          <w:rFonts w:hint="eastAsia" w:asciiTheme="minorEastAsia" w:hAnsiTheme="minorEastAsia"/>
          <w:sz w:val="18"/>
          <w:szCs w:val="18"/>
        </w:rPr>
        <w:t xml:space="preserve"> </w:t>
      </w:r>
      <w:r>
        <w:rPr>
          <w:rFonts w:hint="eastAsia" w:ascii="宋体" w:hAnsi="宋体" w:eastAsia="宋体"/>
          <w:color w:val="000000"/>
          <w:sz w:val="18"/>
          <w:szCs w:val="18"/>
          <w:shd w:val="clear" w:color="auto" w:fill="FFFFFF"/>
        </w:rPr>
        <w:t>王嘉毅.“互联网＋”背景下教育资源共享的机制创新[J].中国民族教育，2016</w:t>
      </w:r>
      <w:r>
        <w:rPr>
          <w:rFonts w:hint="eastAsia" w:ascii="宋体" w:hAnsi="宋体" w:eastAsia="宋体"/>
          <w:color w:val="000000"/>
          <w:sz w:val="18"/>
          <w:szCs w:val="18"/>
          <w:shd w:val="clear" w:color="auto" w:fill="FFFFFF"/>
          <w:lang w:eastAsia="zh-CN"/>
        </w:rPr>
        <w:t>，</w:t>
      </w:r>
      <w:r>
        <w:rPr>
          <w:rFonts w:hint="eastAsia" w:ascii="宋体" w:hAnsi="宋体" w:eastAsia="宋体"/>
          <w:color w:val="000000"/>
          <w:sz w:val="18"/>
          <w:szCs w:val="18"/>
          <w:shd w:val="clear" w:color="auto" w:fill="FFFFFF"/>
        </w:rPr>
        <w:t>（2）：7-9.</w:t>
      </w:r>
    </w:p>
  </w:endnote>
  <w:endnote w:id="13">
    <w:p>
      <w:pPr>
        <w:pStyle w:val="3"/>
        <w:spacing w:line="400" w:lineRule="exact"/>
        <w:jc w:val="both"/>
        <w:rPr>
          <w:rFonts w:ascii="宋体" w:hAnsi="宋体" w:eastAsia="宋体"/>
          <w:sz w:val="18"/>
          <w:szCs w:val="18"/>
        </w:rPr>
      </w:pPr>
      <w:r>
        <w:rPr>
          <w:rStyle w:val="11"/>
          <w:rFonts w:asciiTheme="minorEastAsia" w:hAnsiTheme="minorEastAsia"/>
          <w:sz w:val="18"/>
          <w:szCs w:val="18"/>
        </w:rPr>
        <w:t>[</w:t>
      </w:r>
      <w:r>
        <w:rPr>
          <w:rStyle w:val="11"/>
          <w:rFonts w:asciiTheme="minorEastAsia" w:hAnsiTheme="minorEastAsia"/>
          <w:sz w:val="18"/>
          <w:szCs w:val="18"/>
        </w:rPr>
        <w:endnoteRef/>
      </w:r>
      <w:r>
        <w:rPr>
          <w:rStyle w:val="11"/>
          <w:rFonts w:asciiTheme="minorEastAsia" w:hAnsiTheme="minorEastAsia"/>
          <w:sz w:val="18"/>
          <w:szCs w:val="18"/>
        </w:rPr>
        <w:t>]</w:t>
      </w:r>
      <w:r>
        <w:rPr>
          <w:rFonts w:hint="eastAsia" w:asciiTheme="minorEastAsia" w:hAnsiTheme="minorEastAsia"/>
          <w:sz w:val="18"/>
          <w:szCs w:val="18"/>
        </w:rPr>
        <w:t xml:space="preserve"> </w:t>
      </w:r>
      <w:r>
        <w:rPr>
          <w:rFonts w:hint="eastAsia" w:ascii="宋体" w:hAnsi="宋体" w:eastAsia="宋体"/>
          <w:color w:val="000000"/>
          <w:sz w:val="18"/>
          <w:szCs w:val="18"/>
          <w:shd w:val="clear" w:color="auto" w:fill="FFFFFF"/>
        </w:rPr>
        <w:t>许尔忠，吕朝䶮，闫淳冰.走向应用型：应用型大学建设理论探析[M].武汉：武汉大学出版社，2015：152</w:t>
      </w:r>
      <w:r>
        <w:rPr>
          <w:rFonts w:hint="eastAsia" w:ascii="宋体" w:hAnsi="宋体" w:eastAsia="宋体"/>
          <w:sz w:val="18"/>
          <w:szCs w:val="18"/>
        </w:rPr>
        <w:t>.</w:t>
      </w:r>
    </w:p>
    <w:p>
      <w:pPr>
        <w:ind w:firstLine="422" w:firstLineChars="200"/>
        <w:jc w:val="center"/>
        <w:rPr>
          <w:rFonts w:ascii="Times New Roman" w:hAnsi="Times New Roman" w:eastAsia="仿宋" w:cs="Times New Roman"/>
          <w:b/>
          <w:szCs w:val="21"/>
        </w:rPr>
      </w:pPr>
      <w:r>
        <w:rPr>
          <w:rFonts w:ascii="Times New Roman" w:hAnsi="Times New Roman" w:eastAsia="仿宋" w:cs="Times New Roman"/>
          <w:b/>
          <w:szCs w:val="21"/>
        </w:rPr>
        <w:t>T</w:t>
      </w:r>
      <w:r>
        <w:rPr>
          <w:rFonts w:hint="eastAsia" w:ascii="Times New Roman" w:hAnsi="Times New Roman" w:eastAsia="仿宋" w:cs="Times New Roman"/>
          <w:b/>
          <w:szCs w:val="21"/>
        </w:rPr>
        <w:t>he</w:t>
      </w:r>
      <w:r>
        <w:rPr>
          <w:rFonts w:ascii="Times New Roman" w:hAnsi="Times New Roman" w:eastAsia="仿宋" w:cs="Times New Roman"/>
          <w:b/>
          <w:szCs w:val="21"/>
        </w:rPr>
        <w:t xml:space="preserve"> Analysis of Industries and Teachers Collaborative Teaching Model in Application-oriented Private Colleges and Universities </w:t>
      </w:r>
    </w:p>
    <w:p>
      <w:pPr>
        <w:ind w:firstLine="422" w:firstLineChars="200"/>
        <w:jc w:val="center"/>
        <w:rPr>
          <w:rFonts w:ascii="Times New Roman" w:hAnsi="Times New Roman" w:eastAsia="仿宋" w:cs="Times New Roman"/>
          <w:b/>
          <w:szCs w:val="21"/>
        </w:rPr>
      </w:pPr>
      <w:r>
        <w:rPr>
          <w:rFonts w:ascii="Times New Roman" w:hAnsi="Times New Roman" w:eastAsia="仿宋" w:cs="Times New Roman"/>
          <w:b/>
          <w:szCs w:val="21"/>
        </w:rPr>
        <w:t>TAO</w:t>
      </w:r>
      <w:r>
        <w:rPr>
          <w:rFonts w:hint="eastAsia" w:ascii="Times New Roman" w:hAnsi="Times New Roman" w:eastAsia="仿宋" w:cs="Times New Roman"/>
          <w:b/>
          <w:szCs w:val="21"/>
        </w:rPr>
        <w:t xml:space="preserve"> F</w:t>
      </w:r>
      <w:r>
        <w:rPr>
          <w:rFonts w:ascii="Times New Roman" w:hAnsi="Times New Roman" w:eastAsia="仿宋" w:cs="Times New Roman"/>
          <w:b/>
          <w:szCs w:val="21"/>
        </w:rPr>
        <w:t xml:space="preserve">angming </w:t>
      </w:r>
    </w:p>
    <w:p>
      <w:pPr>
        <w:ind w:firstLine="422" w:firstLineChars="200"/>
        <w:jc w:val="center"/>
        <w:rPr>
          <w:rFonts w:ascii="Times New Roman" w:hAnsi="Times New Roman" w:eastAsia="仿宋" w:cs="Times New Roman"/>
          <w:b/>
          <w:szCs w:val="21"/>
        </w:rPr>
      </w:pPr>
      <w:r>
        <w:rPr>
          <w:rFonts w:hint="eastAsia" w:ascii="Times New Roman" w:hAnsi="Times New Roman" w:eastAsia="仿宋" w:cs="Times New Roman"/>
          <w:b/>
          <w:szCs w:val="21"/>
        </w:rPr>
        <w:t>(</w:t>
      </w:r>
      <w:r>
        <w:rPr>
          <w:rFonts w:ascii="Times New Roman" w:hAnsi="Times New Roman" w:eastAsia="仿宋" w:cs="Times New Roman"/>
          <w:b/>
          <w:szCs w:val="21"/>
        </w:rPr>
        <w:t>Zhejiang Shuren University, Hangzhou, Zhejiang 310015)</w:t>
      </w:r>
    </w:p>
    <w:p>
      <w:pPr>
        <w:ind w:firstLine="422" w:firstLineChars="200"/>
        <w:jc w:val="left"/>
        <w:rPr>
          <w:rFonts w:ascii="Times New Roman" w:hAnsi="Times New Roman" w:eastAsia="仿宋" w:cs="Times New Roman"/>
          <w:bCs/>
          <w:szCs w:val="21"/>
        </w:rPr>
      </w:pPr>
      <w:r>
        <w:rPr>
          <w:rFonts w:ascii="Times New Roman" w:hAnsi="Times New Roman" w:eastAsia="仿宋" w:cs="Times New Roman"/>
          <w:b/>
          <w:szCs w:val="21"/>
        </w:rPr>
        <w:t xml:space="preserve">Abstract: </w:t>
      </w:r>
      <w:r>
        <w:rPr>
          <w:rFonts w:ascii="Times New Roman" w:hAnsi="Times New Roman" w:eastAsia="仿宋" w:cs="Times New Roman"/>
          <w:bCs/>
          <w:szCs w:val="21"/>
        </w:rPr>
        <w:t>With the changes in the demand of the education market, a number of private colleges and universities will aim to cultivate high-level talents as their goal and target, and develop towards the application-oriented direction. Introducing related industrial (business) staff to conduct the Industries and Teachers Collaborative Teaching Model (hereinafter referred to briefly as ITCTM) has become another teaching attempt and exploration of application-oriented private colleges and universities. According to the practice of ITCTM in Public Administration major in Zhejiang Shuren University, this paper elaborates the concept of ITCTM and clarify whose patterns and characteristics, exploring new paths of ITCTM in application-oriented private colleges and universities from the aspects of teaching plan, team, curriculum resources and practice base.</w:t>
      </w:r>
    </w:p>
    <w:p>
      <w:pPr>
        <w:pStyle w:val="3"/>
        <w:spacing w:line="400" w:lineRule="exact"/>
        <w:jc w:val="center"/>
        <w:rPr>
          <w:rFonts w:ascii="宋体" w:hAnsi="宋体" w:eastAsia="宋体"/>
          <w:sz w:val="18"/>
          <w:szCs w:val="18"/>
        </w:rPr>
      </w:pPr>
      <w:r>
        <w:rPr>
          <w:rFonts w:hint="eastAsia" w:ascii="Times New Roman" w:hAnsi="Times New Roman" w:eastAsia="仿宋" w:cs="Times New Roman"/>
          <w:b/>
          <w:szCs w:val="21"/>
        </w:rPr>
        <w:t>K</w:t>
      </w:r>
      <w:r>
        <w:rPr>
          <w:rFonts w:ascii="Times New Roman" w:hAnsi="Times New Roman" w:eastAsia="仿宋" w:cs="Times New Roman"/>
          <w:b/>
          <w:szCs w:val="21"/>
        </w:rPr>
        <w:t>ey w</w:t>
      </w:r>
      <w:r>
        <w:rPr>
          <w:rFonts w:hint="eastAsia" w:ascii="Times New Roman" w:hAnsi="Times New Roman" w:eastAsia="仿宋" w:cs="Times New Roman"/>
          <w:b/>
          <w:szCs w:val="21"/>
        </w:rPr>
        <w:t>ords</w:t>
      </w:r>
      <w:r>
        <w:rPr>
          <w:rFonts w:ascii="Times New Roman" w:hAnsi="Times New Roman" w:eastAsia="仿宋" w:cs="Times New Roman"/>
          <w:b/>
          <w:szCs w:val="21"/>
        </w:rPr>
        <w:t>:</w:t>
      </w:r>
      <w:r>
        <w:rPr>
          <w:rFonts w:ascii="Times New Roman" w:hAnsi="Times New Roman" w:eastAsia="仿宋" w:cs="Times New Roman"/>
          <w:bCs/>
          <w:szCs w:val="21"/>
        </w:rPr>
        <w:t xml:space="preserve"> industries and teachers; collaborative teaching; application-oriented; private colleges and universities</w:t>
      </w:r>
    </w:p>
    <w:p>
      <w:pPr>
        <w:spacing w:line="400" w:lineRule="exact"/>
        <w:ind w:firstLine="420" w:firstLineChars="200"/>
        <w:rPr>
          <w:rFonts w:hint="eastAsia" w:ascii="Times New Roman" w:hAnsi="Times New Roman" w:eastAsia="仿宋" w:cs="Times New Roman"/>
          <w:szCs w:val="21"/>
          <w:lang w:eastAsia="zh-CN"/>
        </w:rPr>
      </w:pPr>
      <w:r>
        <w:rPr>
          <w:rFonts w:hint="eastAsia" w:ascii="Times New Roman" w:hAnsi="Times New Roman" w:eastAsia="仿宋" w:cs="Times New Roman"/>
          <w:szCs w:val="21"/>
          <w:lang w:eastAsia="zh-CN"/>
        </w:rPr>
        <w:t>（责任编辑：侯净雯）</w:t>
      </w:r>
    </w:p>
    <w:p>
      <w:pPr>
        <w:pStyle w:val="3"/>
        <w:spacing w:line="400" w:lineRule="exact"/>
        <w:rPr>
          <w:rFonts w:hint="eastAsia" w:ascii="宋体" w:hAnsi="宋体" w:eastAsiaTheme="minorEastAsia"/>
          <w:sz w:val="18"/>
          <w:szCs w:val="18"/>
          <w:lang w:val="en-US" w:eastAsia="zh-CN"/>
        </w:rPr>
      </w:pPr>
      <w:r>
        <w:rPr>
          <w:rFonts w:hint="eastAsia" w:ascii="Times New Roman" w:hAnsi="Times New Roman" w:eastAsia="仿宋" w:cs="Times New Roman"/>
          <w:szCs w:val="21"/>
          <w:lang w:val="en-US" w:eastAsia="zh-CN"/>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7"/>
        <w:snapToGrid w:val="0"/>
        <w:rPr>
          <w:rFonts w:hint="eastAsia"/>
          <w:lang w:val="en-US" w:eastAsia="zh-CN"/>
        </w:rPr>
      </w:pPr>
      <w:r>
        <w:rPr>
          <w:rStyle w:val="13"/>
        </w:rPr>
        <w:footnoteRef/>
      </w:r>
      <w:r>
        <w:t xml:space="preserve"> </w:t>
      </w:r>
      <w:r>
        <w:rPr>
          <w:rFonts w:hint="eastAsia"/>
          <w:lang w:eastAsia="zh-CN"/>
        </w:rPr>
        <w:t>收稿时间：</w:t>
      </w:r>
      <w:r>
        <w:rPr>
          <w:rFonts w:hint="eastAsia"/>
          <w:lang w:val="en-US" w:eastAsia="zh-CN"/>
        </w:rPr>
        <w:t>2019年05月05日</w:t>
      </w:r>
    </w:p>
    <w:p>
      <w:pPr>
        <w:pStyle w:val="7"/>
        <w:snapToGrid w:val="0"/>
        <w:rPr>
          <w:rFonts w:hint="eastAsia" w:ascii="宋体" w:hAnsi="宋体"/>
          <w:sz w:val="18"/>
          <w:szCs w:val="18"/>
        </w:rPr>
      </w:pPr>
      <w:r>
        <w:rPr>
          <w:rFonts w:hint="eastAsia"/>
          <w:lang w:val="en-US" w:eastAsia="zh-CN"/>
        </w:rPr>
        <w:t>作者简介：</w:t>
      </w:r>
      <w:r>
        <w:rPr>
          <w:rFonts w:hint="eastAsia" w:ascii="宋体" w:hAnsi="宋体"/>
          <w:sz w:val="18"/>
          <w:szCs w:val="18"/>
        </w:rPr>
        <w:t>陶芳铭</w:t>
      </w:r>
      <w:r>
        <w:rPr>
          <w:rFonts w:hint="eastAsia" w:ascii="宋体" w:hAnsi="宋体"/>
          <w:sz w:val="18"/>
          <w:szCs w:val="18"/>
          <w:lang w:val="en-US" w:eastAsia="zh-CN"/>
        </w:rPr>
        <w:t>(1979-)</w:t>
      </w:r>
      <w:r>
        <w:rPr>
          <w:rFonts w:hint="eastAsia" w:ascii="宋体" w:hAnsi="宋体"/>
          <w:sz w:val="18"/>
          <w:szCs w:val="18"/>
        </w:rPr>
        <w:t>，男，安徽南陵人，教育学博士，浙江树人大学健康与社会管理学院公共事业管理专业教研室主任，讲师，主要</w:t>
      </w:r>
      <w:r>
        <w:rPr>
          <w:rFonts w:hint="eastAsia" w:ascii="宋体" w:hAnsi="宋体"/>
          <w:sz w:val="18"/>
          <w:szCs w:val="18"/>
          <w:lang w:eastAsia="zh-CN"/>
        </w:rPr>
        <w:t>研究方向：</w:t>
      </w:r>
      <w:r>
        <w:rPr>
          <w:rFonts w:hint="eastAsia" w:ascii="宋体" w:hAnsi="宋体"/>
          <w:sz w:val="18"/>
          <w:szCs w:val="18"/>
        </w:rPr>
        <w:t>教育基本理论研究。</w:t>
      </w:r>
    </w:p>
    <w:p>
      <w:pPr>
        <w:pStyle w:val="7"/>
        <w:jc w:val="both"/>
      </w:pPr>
      <w:r>
        <w:rPr>
          <w:rFonts w:hint="eastAsia" w:asciiTheme="minorEastAsia" w:hAnsiTheme="minorEastAsia" w:eastAsiaTheme="minorEastAsia"/>
        </w:rPr>
        <w:t>基金项目：本文系浙江树人大学校级教学改革项目“应用型民办高校业师协同教学模式探究”研究（2018JG2009）、浙江树人大学人才项目“德育教材建设研究（2018R005）”阶段性成果。</w:t>
      </w:r>
    </w:p>
    <w:p>
      <w:pPr>
        <w:pStyle w:val="7"/>
        <w:snapToGrid w:val="0"/>
        <w:rPr>
          <w:rFonts w:hint="default" w:ascii="宋体" w:hAnsi="宋体"/>
          <w:sz w:val="18"/>
          <w:szCs w:val="18"/>
          <w:lang w:val="en-US" w:eastAsia="zh-CN"/>
        </w:rPr>
      </w:pPr>
      <w:bookmarkStart w:id="0" w:name="_GoBack"/>
      <w:bookmarkEnd w:id="0"/>
    </w:p>
  </w:footnote>
  <w:footnote w:id="1">
    <w:p>
      <w:pPr>
        <w:pStyle w:val="7"/>
      </w:pPr>
      <w:r>
        <w:rPr>
          <w:rStyle w:val="13"/>
        </w:rPr>
        <w:footnoteRef/>
      </w:r>
      <w:r>
        <w:rPr>
          <w:rFonts w:hint="eastAsia" w:asciiTheme="minorEastAsia" w:hAnsiTheme="minorEastAsia"/>
        </w:rPr>
        <w:t xml:space="preserve"> 注：浙江树人大学作为改革开放以来国内最早成立的全日制民办大学之一，自办学以来一直非常注重高级应用型人才的培养，有着较早的业师协同教学实践和经验。本文以浙江树人大学公共事业管理专业的实践探索作为分析业师协同教学模式新路径的案例，虽然个案难以全面代表业师协同教学模式的新路径，但至少目前的这种尝试和实践能够为业师协同教学提供更多的借鉴和思考，故本文以浙江树人大学公共事业管理专业为例来展开业师协同教学模式新路径的探讨。</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numFmt w:val="decimalEnclosedCircleChinese"/>
    <w:numRestart w:val="eachPage"/>
  </w:footnotePr>
  <w:endnotePr>
    <w:numFmt w:val="decimal"/>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C1F40"/>
    <w:rsid w:val="00000337"/>
    <w:rsid w:val="0000430D"/>
    <w:rsid w:val="00013477"/>
    <w:rsid w:val="000167E5"/>
    <w:rsid w:val="000172C1"/>
    <w:rsid w:val="000219C9"/>
    <w:rsid w:val="00023A32"/>
    <w:rsid w:val="0002569C"/>
    <w:rsid w:val="00037B5B"/>
    <w:rsid w:val="00042F24"/>
    <w:rsid w:val="00052487"/>
    <w:rsid w:val="00052C6B"/>
    <w:rsid w:val="000637C5"/>
    <w:rsid w:val="00070FB0"/>
    <w:rsid w:val="000744D4"/>
    <w:rsid w:val="000748E3"/>
    <w:rsid w:val="00075B0C"/>
    <w:rsid w:val="000762DB"/>
    <w:rsid w:val="000812BA"/>
    <w:rsid w:val="00082ABE"/>
    <w:rsid w:val="00084C0F"/>
    <w:rsid w:val="0009153D"/>
    <w:rsid w:val="00092E85"/>
    <w:rsid w:val="00096ABD"/>
    <w:rsid w:val="000A1DAE"/>
    <w:rsid w:val="000A4531"/>
    <w:rsid w:val="000B152E"/>
    <w:rsid w:val="000C2D88"/>
    <w:rsid w:val="000D1C83"/>
    <w:rsid w:val="000D3B76"/>
    <w:rsid w:val="000F03BB"/>
    <w:rsid w:val="000F1706"/>
    <w:rsid w:val="000F2C49"/>
    <w:rsid w:val="000F2EA9"/>
    <w:rsid w:val="000F3200"/>
    <w:rsid w:val="000F4D01"/>
    <w:rsid w:val="000F6F9C"/>
    <w:rsid w:val="00100DCA"/>
    <w:rsid w:val="00101895"/>
    <w:rsid w:val="001039EC"/>
    <w:rsid w:val="00106651"/>
    <w:rsid w:val="00107CBB"/>
    <w:rsid w:val="00115364"/>
    <w:rsid w:val="00116DDE"/>
    <w:rsid w:val="00122C38"/>
    <w:rsid w:val="00130DB2"/>
    <w:rsid w:val="00135CC2"/>
    <w:rsid w:val="00136B61"/>
    <w:rsid w:val="00137CBE"/>
    <w:rsid w:val="0014278C"/>
    <w:rsid w:val="001451CE"/>
    <w:rsid w:val="00145CE8"/>
    <w:rsid w:val="001515CD"/>
    <w:rsid w:val="00153DF1"/>
    <w:rsid w:val="00153DFE"/>
    <w:rsid w:val="0016020D"/>
    <w:rsid w:val="00160F76"/>
    <w:rsid w:val="001617D8"/>
    <w:rsid w:val="00162D21"/>
    <w:rsid w:val="00162DA6"/>
    <w:rsid w:val="001649EA"/>
    <w:rsid w:val="00164DFE"/>
    <w:rsid w:val="00171B87"/>
    <w:rsid w:val="00172D83"/>
    <w:rsid w:val="00173FAE"/>
    <w:rsid w:val="001810A3"/>
    <w:rsid w:val="0018288E"/>
    <w:rsid w:val="001839FA"/>
    <w:rsid w:val="00185201"/>
    <w:rsid w:val="00186A3A"/>
    <w:rsid w:val="00191E54"/>
    <w:rsid w:val="00195A72"/>
    <w:rsid w:val="00197D00"/>
    <w:rsid w:val="001A4C8D"/>
    <w:rsid w:val="001A7544"/>
    <w:rsid w:val="001B2799"/>
    <w:rsid w:val="001B36C4"/>
    <w:rsid w:val="001B3892"/>
    <w:rsid w:val="001B3B16"/>
    <w:rsid w:val="001B71C3"/>
    <w:rsid w:val="001C094A"/>
    <w:rsid w:val="001C32B3"/>
    <w:rsid w:val="001C556C"/>
    <w:rsid w:val="001E594C"/>
    <w:rsid w:val="001E59A0"/>
    <w:rsid w:val="001E59EF"/>
    <w:rsid w:val="001F1D87"/>
    <w:rsid w:val="001F4ECF"/>
    <w:rsid w:val="001F6A19"/>
    <w:rsid w:val="002004E9"/>
    <w:rsid w:val="0020437E"/>
    <w:rsid w:val="00204C28"/>
    <w:rsid w:val="002052A6"/>
    <w:rsid w:val="00211B96"/>
    <w:rsid w:val="00213679"/>
    <w:rsid w:val="00213F13"/>
    <w:rsid w:val="0022474D"/>
    <w:rsid w:val="00233A4A"/>
    <w:rsid w:val="002347E2"/>
    <w:rsid w:val="00234D2E"/>
    <w:rsid w:val="00240AA8"/>
    <w:rsid w:val="00240D98"/>
    <w:rsid w:val="0024147F"/>
    <w:rsid w:val="0024414A"/>
    <w:rsid w:val="00244807"/>
    <w:rsid w:val="002460B7"/>
    <w:rsid w:val="002517C1"/>
    <w:rsid w:val="00265BF0"/>
    <w:rsid w:val="00265EFB"/>
    <w:rsid w:val="00267BFA"/>
    <w:rsid w:val="00270651"/>
    <w:rsid w:val="00284EEE"/>
    <w:rsid w:val="00291F4D"/>
    <w:rsid w:val="002920F2"/>
    <w:rsid w:val="00293319"/>
    <w:rsid w:val="002945AA"/>
    <w:rsid w:val="002A019B"/>
    <w:rsid w:val="002A156A"/>
    <w:rsid w:val="002A1F1D"/>
    <w:rsid w:val="002A1FE4"/>
    <w:rsid w:val="002A6E73"/>
    <w:rsid w:val="002A6F83"/>
    <w:rsid w:val="002A73FC"/>
    <w:rsid w:val="002B50E0"/>
    <w:rsid w:val="002B7520"/>
    <w:rsid w:val="002C0CC0"/>
    <w:rsid w:val="002C0E73"/>
    <w:rsid w:val="002C75ED"/>
    <w:rsid w:val="002D27D5"/>
    <w:rsid w:val="002D4B5F"/>
    <w:rsid w:val="002D7848"/>
    <w:rsid w:val="002E2609"/>
    <w:rsid w:val="002E3892"/>
    <w:rsid w:val="002E4C6B"/>
    <w:rsid w:val="002F58EC"/>
    <w:rsid w:val="002F6295"/>
    <w:rsid w:val="003025D3"/>
    <w:rsid w:val="00304A81"/>
    <w:rsid w:val="00306495"/>
    <w:rsid w:val="00310A42"/>
    <w:rsid w:val="003119F7"/>
    <w:rsid w:val="00312D43"/>
    <w:rsid w:val="00322BB2"/>
    <w:rsid w:val="003233FA"/>
    <w:rsid w:val="00323F99"/>
    <w:rsid w:val="00327344"/>
    <w:rsid w:val="0033050C"/>
    <w:rsid w:val="00337CD9"/>
    <w:rsid w:val="0034480A"/>
    <w:rsid w:val="0035109F"/>
    <w:rsid w:val="0035160C"/>
    <w:rsid w:val="00361169"/>
    <w:rsid w:val="00364113"/>
    <w:rsid w:val="003649EF"/>
    <w:rsid w:val="00370F8C"/>
    <w:rsid w:val="0037222B"/>
    <w:rsid w:val="00373DE3"/>
    <w:rsid w:val="00375C0D"/>
    <w:rsid w:val="00377D53"/>
    <w:rsid w:val="003811D6"/>
    <w:rsid w:val="00382776"/>
    <w:rsid w:val="003844AE"/>
    <w:rsid w:val="00386A9D"/>
    <w:rsid w:val="00387810"/>
    <w:rsid w:val="00394551"/>
    <w:rsid w:val="003A0B14"/>
    <w:rsid w:val="003A4E89"/>
    <w:rsid w:val="003A5A7E"/>
    <w:rsid w:val="003B38A4"/>
    <w:rsid w:val="003C23F1"/>
    <w:rsid w:val="003C7D7E"/>
    <w:rsid w:val="003D23D7"/>
    <w:rsid w:val="003D76D1"/>
    <w:rsid w:val="003E0CB0"/>
    <w:rsid w:val="003E2AED"/>
    <w:rsid w:val="003E3C59"/>
    <w:rsid w:val="003F0E3C"/>
    <w:rsid w:val="003F122C"/>
    <w:rsid w:val="003F2BEA"/>
    <w:rsid w:val="00404C06"/>
    <w:rsid w:val="00406746"/>
    <w:rsid w:val="00407C2A"/>
    <w:rsid w:val="00410A25"/>
    <w:rsid w:val="00411DD3"/>
    <w:rsid w:val="0041304E"/>
    <w:rsid w:val="004135C3"/>
    <w:rsid w:val="00414B52"/>
    <w:rsid w:val="004200B3"/>
    <w:rsid w:val="00424A17"/>
    <w:rsid w:val="00424AB7"/>
    <w:rsid w:val="00425AF6"/>
    <w:rsid w:val="00433802"/>
    <w:rsid w:val="00433F22"/>
    <w:rsid w:val="00434839"/>
    <w:rsid w:val="00440A19"/>
    <w:rsid w:val="00441C9E"/>
    <w:rsid w:val="00443961"/>
    <w:rsid w:val="00446122"/>
    <w:rsid w:val="00447B18"/>
    <w:rsid w:val="0045032B"/>
    <w:rsid w:val="00452E0F"/>
    <w:rsid w:val="00460058"/>
    <w:rsid w:val="00461621"/>
    <w:rsid w:val="00472809"/>
    <w:rsid w:val="004836AF"/>
    <w:rsid w:val="00484B3C"/>
    <w:rsid w:val="00494AC1"/>
    <w:rsid w:val="004A5720"/>
    <w:rsid w:val="004A586A"/>
    <w:rsid w:val="004A651C"/>
    <w:rsid w:val="004B0B56"/>
    <w:rsid w:val="004B2576"/>
    <w:rsid w:val="004B4326"/>
    <w:rsid w:val="004C3B64"/>
    <w:rsid w:val="004C4849"/>
    <w:rsid w:val="004C4CE5"/>
    <w:rsid w:val="004E1F26"/>
    <w:rsid w:val="004F023A"/>
    <w:rsid w:val="004F025E"/>
    <w:rsid w:val="004F123A"/>
    <w:rsid w:val="004F173B"/>
    <w:rsid w:val="00500970"/>
    <w:rsid w:val="00502418"/>
    <w:rsid w:val="00503F95"/>
    <w:rsid w:val="005077F8"/>
    <w:rsid w:val="00513055"/>
    <w:rsid w:val="005202CC"/>
    <w:rsid w:val="00522B60"/>
    <w:rsid w:val="00523FC5"/>
    <w:rsid w:val="00525A6A"/>
    <w:rsid w:val="00530A35"/>
    <w:rsid w:val="00533BC2"/>
    <w:rsid w:val="00534221"/>
    <w:rsid w:val="00536E5D"/>
    <w:rsid w:val="005403E3"/>
    <w:rsid w:val="00541AC0"/>
    <w:rsid w:val="00542CCF"/>
    <w:rsid w:val="00547F5E"/>
    <w:rsid w:val="00560ADA"/>
    <w:rsid w:val="00560E2E"/>
    <w:rsid w:val="005670F5"/>
    <w:rsid w:val="00567BDF"/>
    <w:rsid w:val="005727D0"/>
    <w:rsid w:val="00575EC1"/>
    <w:rsid w:val="005817E3"/>
    <w:rsid w:val="0058207E"/>
    <w:rsid w:val="00584458"/>
    <w:rsid w:val="0059556E"/>
    <w:rsid w:val="005A42A7"/>
    <w:rsid w:val="005A7ADF"/>
    <w:rsid w:val="005B050B"/>
    <w:rsid w:val="005B0C47"/>
    <w:rsid w:val="005B16C4"/>
    <w:rsid w:val="005B2312"/>
    <w:rsid w:val="005B2807"/>
    <w:rsid w:val="005B3D3B"/>
    <w:rsid w:val="005C10A5"/>
    <w:rsid w:val="005C3F8D"/>
    <w:rsid w:val="005C7CFC"/>
    <w:rsid w:val="005D498A"/>
    <w:rsid w:val="005D52EB"/>
    <w:rsid w:val="005D5D11"/>
    <w:rsid w:val="005D7D9A"/>
    <w:rsid w:val="005E232A"/>
    <w:rsid w:val="005E3492"/>
    <w:rsid w:val="005E3639"/>
    <w:rsid w:val="005E3C9C"/>
    <w:rsid w:val="005E4292"/>
    <w:rsid w:val="005E42EA"/>
    <w:rsid w:val="005E67B8"/>
    <w:rsid w:val="005F0D19"/>
    <w:rsid w:val="005F6BFC"/>
    <w:rsid w:val="00600611"/>
    <w:rsid w:val="006040E4"/>
    <w:rsid w:val="00604BFB"/>
    <w:rsid w:val="00607F76"/>
    <w:rsid w:val="006170D4"/>
    <w:rsid w:val="006177AF"/>
    <w:rsid w:val="00625C66"/>
    <w:rsid w:val="006316C3"/>
    <w:rsid w:val="00635AF7"/>
    <w:rsid w:val="00641752"/>
    <w:rsid w:val="00650457"/>
    <w:rsid w:val="0065176A"/>
    <w:rsid w:val="00660AC7"/>
    <w:rsid w:val="00664D2B"/>
    <w:rsid w:val="00671372"/>
    <w:rsid w:val="006776CB"/>
    <w:rsid w:val="006779DC"/>
    <w:rsid w:val="00680250"/>
    <w:rsid w:val="00681091"/>
    <w:rsid w:val="00683AC6"/>
    <w:rsid w:val="00685C64"/>
    <w:rsid w:val="00687B8A"/>
    <w:rsid w:val="006917BF"/>
    <w:rsid w:val="00694F53"/>
    <w:rsid w:val="006976E2"/>
    <w:rsid w:val="00697B95"/>
    <w:rsid w:val="006A1FF2"/>
    <w:rsid w:val="006A65EA"/>
    <w:rsid w:val="006B7614"/>
    <w:rsid w:val="006C35CF"/>
    <w:rsid w:val="006D62D3"/>
    <w:rsid w:val="006D6E64"/>
    <w:rsid w:val="006D7C80"/>
    <w:rsid w:val="006E0997"/>
    <w:rsid w:val="006E469A"/>
    <w:rsid w:val="006E5691"/>
    <w:rsid w:val="006E7B5B"/>
    <w:rsid w:val="00702D77"/>
    <w:rsid w:val="0070714A"/>
    <w:rsid w:val="007125D2"/>
    <w:rsid w:val="007174DA"/>
    <w:rsid w:val="00722267"/>
    <w:rsid w:val="0072276D"/>
    <w:rsid w:val="007228F6"/>
    <w:rsid w:val="007235FC"/>
    <w:rsid w:val="00723FD6"/>
    <w:rsid w:val="0073360E"/>
    <w:rsid w:val="007343C1"/>
    <w:rsid w:val="00744316"/>
    <w:rsid w:val="00746E21"/>
    <w:rsid w:val="007556AE"/>
    <w:rsid w:val="00756D90"/>
    <w:rsid w:val="007646B7"/>
    <w:rsid w:val="00770889"/>
    <w:rsid w:val="007720B1"/>
    <w:rsid w:val="0078048F"/>
    <w:rsid w:val="007817BD"/>
    <w:rsid w:val="00782F67"/>
    <w:rsid w:val="00793AEF"/>
    <w:rsid w:val="007A4549"/>
    <w:rsid w:val="007A464C"/>
    <w:rsid w:val="007A4A24"/>
    <w:rsid w:val="007A63FF"/>
    <w:rsid w:val="007B1141"/>
    <w:rsid w:val="007B6E87"/>
    <w:rsid w:val="007C09DF"/>
    <w:rsid w:val="007C15D0"/>
    <w:rsid w:val="007C4C41"/>
    <w:rsid w:val="007C638A"/>
    <w:rsid w:val="007C77B8"/>
    <w:rsid w:val="007D01BC"/>
    <w:rsid w:val="007D05B2"/>
    <w:rsid w:val="007D08DA"/>
    <w:rsid w:val="007D5472"/>
    <w:rsid w:val="007E544F"/>
    <w:rsid w:val="007E65C9"/>
    <w:rsid w:val="007F6259"/>
    <w:rsid w:val="00800BE9"/>
    <w:rsid w:val="0080395C"/>
    <w:rsid w:val="00803D73"/>
    <w:rsid w:val="008129D1"/>
    <w:rsid w:val="00814A75"/>
    <w:rsid w:val="0081598C"/>
    <w:rsid w:val="00815B8D"/>
    <w:rsid w:val="0082083A"/>
    <w:rsid w:val="008225CD"/>
    <w:rsid w:val="00824F61"/>
    <w:rsid w:val="00826DA6"/>
    <w:rsid w:val="00827679"/>
    <w:rsid w:val="008338E1"/>
    <w:rsid w:val="00837276"/>
    <w:rsid w:val="0084253F"/>
    <w:rsid w:val="0084346B"/>
    <w:rsid w:val="00843616"/>
    <w:rsid w:val="0084732B"/>
    <w:rsid w:val="00850D07"/>
    <w:rsid w:val="00851A09"/>
    <w:rsid w:val="00855B9F"/>
    <w:rsid w:val="00871D0F"/>
    <w:rsid w:val="00871D93"/>
    <w:rsid w:val="00873C5A"/>
    <w:rsid w:val="008741DE"/>
    <w:rsid w:val="00877110"/>
    <w:rsid w:val="00881E5E"/>
    <w:rsid w:val="00890303"/>
    <w:rsid w:val="008912CF"/>
    <w:rsid w:val="00892921"/>
    <w:rsid w:val="00893567"/>
    <w:rsid w:val="008A1D74"/>
    <w:rsid w:val="008A77DE"/>
    <w:rsid w:val="008A789A"/>
    <w:rsid w:val="008B18D1"/>
    <w:rsid w:val="008B300D"/>
    <w:rsid w:val="008B47FE"/>
    <w:rsid w:val="008D200D"/>
    <w:rsid w:val="008E057C"/>
    <w:rsid w:val="008E0CF2"/>
    <w:rsid w:val="008E4278"/>
    <w:rsid w:val="008E479E"/>
    <w:rsid w:val="008E7C63"/>
    <w:rsid w:val="008F2FCF"/>
    <w:rsid w:val="008F4EC2"/>
    <w:rsid w:val="008F503A"/>
    <w:rsid w:val="008F5E9B"/>
    <w:rsid w:val="00901126"/>
    <w:rsid w:val="0090153F"/>
    <w:rsid w:val="0090389F"/>
    <w:rsid w:val="00904E99"/>
    <w:rsid w:val="00904EED"/>
    <w:rsid w:val="0090770A"/>
    <w:rsid w:val="0091252F"/>
    <w:rsid w:val="0091558F"/>
    <w:rsid w:val="0091584C"/>
    <w:rsid w:val="009161CA"/>
    <w:rsid w:val="0091715C"/>
    <w:rsid w:val="009222E2"/>
    <w:rsid w:val="00926161"/>
    <w:rsid w:val="00926648"/>
    <w:rsid w:val="009266E0"/>
    <w:rsid w:val="0092737C"/>
    <w:rsid w:val="009336E0"/>
    <w:rsid w:val="00934FC7"/>
    <w:rsid w:val="0093556C"/>
    <w:rsid w:val="0093611C"/>
    <w:rsid w:val="00936FB1"/>
    <w:rsid w:val="00937F7F"/>
    <w:rsid w:val="00941D42"/>
    <w:rsid w:val="009517E0"/>
    <w:rsid w:val="00955473"/>
    <w:rsid w:val="00972903"/>
    <w:rsid w:val="00973FF2"/>
    <w:rsid w:val="0097414F"/>
    <w:rsid w:val="00975427"/>
    <w:rsid w:val="00977598"/>
    <w:rsid w:val="00981F81"/>
    <w:rsid w:val="0098643D"/>
    <w:rsid w:val="00991D36"/>
    <w:rsid w:val="0099209B"/>
    <w:rsid w:val="00995E88"/>
    <w:rsid w:val="009A0D1D"/>
    <w:rsid w:val="009B3735"/>
    <w:rsid w:val="009B51A1"/>
    <w:rsid w:val="009C09DE"/>
    <w:rsid w:val="009C3AE4"/>
    <w:rsid w:val="009C5171"/>
    <w:rsid w:val="009C5D8D"/>
    <w:rsid w:val="009C5F93"/>
    <w:rsid w:val="009D1B5E"/>
    <w:rsid w:val="009E53EB"/>
    <w:rsid w:val="009E725E"/>
    <w:rsid w:val="009F02E9"/>
    <w:rsid w:val="009F2191"/>
    <w:rsid w:val="009F2D40"/>
    <w:rsid w:val="009F421B"/>
    <w:rsid w:val="009F6179"/>
    <w:rsid w:val="009F6B4F"/>
    <w:rsid w:val="00A01070"/>
    <w:rsid w:val="00A0231A"/>
    <w:rsid w:val="00A07FE0"/>
    <w:rsid w:val="00A2483F"/>
    <w:rsid w:val="00A31B7C"/>
    <w:rsid w:val="00A42643"/>
    <w:rsid w:val="00A46128"/>
    <w:rsid w:val="00A46830"/>
    <w:rsid w:val="00A46E65"/>
    <w:rsid w:val="00A50587"/>
    <w:rsid w:val="00A50EF1"/>
    <w:rsid w:val="00A513A4"/>
    <w:rsid w:val="00A527E8"/>
    <w:rsid w:val="00A548CC"/>
    <w:rsid w:val="00A56A56"/>
    <w:rsid w:val="00A57EAD"/>
    <w:rsid w:val="00A604EE"/>
    <w:rsid w:val="00A6617F"/>
    <w:rsid w:val="00A66DDC"/>
    <w:rsid w:val="00A67462"/>
    <w:rsid w:val="00A72290"/>
    <w:rsid w:val="00A81624"/>
    <w:rsid w:val="00A90096"/>
    <w:rsid w:val="00A9103E"/>
    <w:rsid w:val="00A94582"/>
    <w:rsid w:val="00A965B3"/>
    <w:rsid w:val="00AA339B"/>
    <w:rsid w:val="00AA4BB6"/>
    <w:rsid w:val="00AA5D06"/>
    <w:rsid w:val="00AB11FA"/>
    <w:rsid w:val="00AB7E81"/>
    <w:rsid w:val="00AC1F40"/>
    <w:rsid w:val="00AC42F3"/>
    <w:rsid w:val="00AC4C03"/>
    <w:rsid w:val="00AC61DE"/>
    <w:rsid w:val="00AC7FBF"/>
    <w:rsid w:val="00AD37A8"/>
    <w:rsid w:val="00AD415C"/>
    <w:rsid w:val="00AD5F82"/>
    <w:rsid w:val="00AD794E"/>
    <w:rsid w:val="00AE2753"/>
    <w:rsid w:val="00AE34D3"/>
    <w:rsid w:val="00AE3D2A"/>
    <w:rsid w:val="00AE5977"/>
    <w:rsid w:val="00AE6441"/>
    <w:rsid w:val="00AF7569"/>
    <w:rsid w:val="00B004B3"/>
    <w:rsid w:val="00B01D8F"/>
    <w:rsid w:val="00B0275C"/>
    <w:rsid w:val="00B04CE2"/>
    <w:rsid w:val="00B05BAE"/>
    <w:rsid w:val="00B05C38"/>
    <w:rsid w:val="00B15B3C"/>
    <w:rsid w:val="00B20F77"/>
    <w:rsid w:val="00B21AD3"/>
    <w:rsid w:val="00B24AEF"/>
    <w:rsid w:val="00B24BC4"/>
    <w:rsid w:val="00B27149"/>
    <w:rsid w:val="00B335F1"/>
    <w:rsid w:val="00B35148"/>
    <w:rsid w:val="00B3538A"/>
    <w:rsid w:val="00B35470"/>
    <w:rsid w:val="00B37F5D"/>
    <w:rsid w:val="00B40A68"/>
    <w:rsid w:val="00B43207"/>
    <w:rsid w:val="00B440F1"/>
    <w:rsid w:val="00B4452C"/>
    <w:rsid w:val="00B449B2"/>
    <w:rsid w:val="00B478AF"/>
    <w:rsid w:val="00B538F9"/>
    <w:rsid w:val="00B55920"/>
    <w:rsid w:val="00B56FE3"/>
    <w:rsid w:val="00B746D8"/>
    <w:rsid w:val="00B75496"/>
    <w:rsid w:val="00B83150"/>
    <w:rsid w:val="00B84A44"/>
    <w:rsid w:val="00B87D12"/>
    <w:rsid w:val="00B9160E"/>
    <w:rsid w:val="00B917AC"/>
    <w:rsid w:val="00B92A4A"/>
    <w:rsid w:val="00B96C20"/>
    <w:rsid w:val="00B96EE3"/>
    <w:rsid w:val="00B974EA"/>
    <w:rsid w:val="00BA37A3"/>
    <w:rsid w:val="00BA4ADA"/>
    <w:rsid w:val="00BA73C9"/>
    <w:rsid w:val="00BB14F3"/>
    <w:rsid w:val="00BB2172"/>
    <w:rsid w:val="00BB55D0"/>
    <w:rsid w:val="00BB61A7"/>
    <w:rsid w:val="00BC3EF9"/>
    <w:rsid w:val="00BC51B1"/>
    <w:rsid w:val="00BD6EAC"/>
    <w:rsid w:val="00BD753B"/>
    <w:rsid w:val="00BE16D9"/>
    <w:rsid w:val="00BF0396"/>
    <w:rsid w:val="00BF2456"/>
    <w:rsid w:val="00C000E2"/>
    <w:rsid w:val="00C00177"/>
    <w:rsid w:val="00C05584"/>
    <w:rsid w:val="00C05FF8"/>
    <w:rsid w:val="00C15101"/>
    <w:rsid w:val="00C16091"/>
    <w:rsid w:val="00C200E8"/>
    <w:rsid w:val="00C20697"/>
    <w:rsid w:val="00C23BBF"/>
    <w:rsid w:val="00C23E4E"/>
    <w:rsid w:val="00C246FB"/>
    <w:rsid w:val="00C25A6E"/>
    <w:rsid w:val="00C26AC6"/>
    <w:rsid w:val="00C30643"/>
    <w:rsid w:val="00C369FC"/>
    <w:rsid w:val="00C4045F"/>
    <w:rsid w:val="00C41AD7"/>
    <w:rsid w:val="00C429DD"/>
    <w:rsid w:val="00C45C57"/>
    <w:rsid w:val="00C524FB"/>
    <w:rsid w:val="00C56AA2"/>
    <w:rsid w:val="00C6105B"/>
    <w:rsid w:val="00C62B55"/>
    <w:rsid w:val="00C63790"/>
    <w:rsid w:val="00C65910"/>
    <w:rsid w:val="00C665A4"/>
    <w:rsid w:val="00C74422"/>
    <w:rsid w:val="00C80662"/>
    <w:rsid w:val="00C84589"/>
    <w:rsid w:val="00C85754"/>
    <w:rsid w:val="00C91928"/>
    <w:rsid w:val="00CA0904"/>
    <w:rsid w:val="00CA3AD8"/>
    <w:rsid w:val="00CA3E25"/>
    <w:rsid w:val="00CA64BE"/>
    <w:rsid w:val="00CA7B06"/>
    <w:rsid w:val="00CA7B3E"/>
    <w:rsid w:val="00CB56F3"/>
    <w:rsid w:val="00CB7066"/>
    <w:rsid w:val="00CB79A3"/>
    <w:rsid w:val="00CB7F1C"/>
    <w:rsid w:val="00CC16DD"/>
    <w:rsid w:val="00CC61DD"/>
    <w:rsid w:val="00CD13E7"/>
    <w:rsid w:val="00CD4255"/>
    <w:rsid w:val="00CD4E6B"/>
    <w:rsid w:val="00CD55D4"/>
    <w:rsid w:val="00CE03FB"/>
    <w:rsid w:val="00CE5DCD"/>
    <w:rsid w:val="00CE7F9A"/>
    <w:rsid w:val="00CF07FF"/>
    <w:rsid w:val="00CF51A7"/>
    <w:rsid w:val="00D02C0F"/>
    <w:rsid w:val="00D14534"/>
    <w:rsid w:val="00D15557"/>
    <w:rsid w:val="00D15E6D"/>
    <w:rsid w:val="00D17F78"/>
    <w:rsid w:val="00D20E78"/>
    <w:rsid w:val="00D22F99"/>
    <w:rsid w:val="00D23548"/>
    <w:rsid w:val="00D243AF"/>
    <w:rsid w:val="00D305F2"/>
    <w:rsid w:val="00D41830"/>
    <w:rsid w:val="00D41AE9"/>
    <w:rsid w:val="00D42EF9"/>
    <w:rsid w:val="00D4339D"/>
    <w:rsid w:val="00D52721"/>
    <w:rsid w:val="00D53034"/>
    <w:rsid w:val="00D55CA5"/>
    <w:rsid w:val="00D61FDD"/>
    <w:rsid w:val="00D62A16"/>
    <w:rsid w:val="00D70894"/>
    <w:rsid w:val="00D730BF"/>
    <w:rsid w:val="00D747CF"/>
    <w:rsid w:val="00D822EF"/>
    <w:rsid w:val="00D83068"/>
    <w:rsid w:val="00D83F02"/>
    <w:rsid w:val="00D91966"/>
    <w:rsid w:val="00D944DD"/>
    <w:rsid w:val="00DA4741"/>
    <w:rsid w:val="00DA4807"/>
    <w:rsid w:val="00DA79D8"/>
    <w:rsid w:val="00DB0D8A"/>
    <w:rsid w:val="00DB234A"/>
    <w:rsid w:val="00DB7DC6"/>
    <w:rsid w:val="00DC3E17"/>
    <w:rsid w:val="00DC6EBB"/>
    <w:rsid w:val="00DC7E63"/>
    <w:rsid w:val="00DD7282"/>
    <w:rsid w:val="00DE00F9"/>
    <w:rsid w:val="00DE6B20"/>
    <w:rsid w:val="00DF08FB"/>
    <w:rsid w:val="00DF2508"/>
    <w:rsid w:val="00DF4954"/>
    <w:rsid w:val="00E236B5"/>
    <w:rsid w:val="00E25FFF"/>
    <w:rsid w:val="00E26D21"/>
    <w:rsid w:val="00E27E9A"/>
    <w:rsid w:val="00E31FBC"/>
    <w:rsid w:val="00E35B92"/>
    <w:rsid w:val="00E37BD5"/>
    <w:rsid w:val="00E4011D"/>
    <w:rsid w:val="00E4465F"/>
    <w:rsid w:val="00E44D90"/>
    <w:rsid w:val="00E47B7E"/>
    <w:rsid w:val="00E51D58"/>
    <w:rsid w:val="00E55509"/>
    <w:rsid w:val="00E56FD4"/>
    <w:rsid w:val="00E57356"/>
    <w:rsid w:val="00E5736A"/>
    <w:rsid w:val="00E57BC3"/>
    <w:rsid w:val="00E70789"/>
    <w:rsid w:val="00E833EF"/>
    <w:rsid w:val="00E834DB"/>
    <w:rsid w:val="00E83BB3"/>
    <w:rsid w:val="00E86E7E"/>
    <w:rsid w:val="00E87EA2"/>
    <w:rsid w:val="00E90870"/>
    <w:rsid w:val="00E91935"/>
    <w:rsid w:val="00E93991"/>
    <w:rsid w:val="00EA23A5"/>
    <w:rsid w:val="00EA5066"/>
    <w:rsid w:val="00EA5715"/>
    <w:rsid w:val="00EA6BC9"/>
    <w:rsid w:val="00EB0DF1"/>
    <w:rsid w:val="00EB203C"/>
    <w:rsid w:val="00EC0FA2"/>
    <w:rsid w:val="00EC1FC2"/>
    <w:rsid w:val="00EC2174"/>
    <w:rsid w:val="00EC5269"/>
    <w:rsid w:val="00EC5C45"/>
    <w:rsid w:val="00EC5FF5"/>
    <w:rsid w:val="00EC7358"/>
    <w:rsid w:val="00ED16EC"/>
    <w:rsid w:val="00ED43D2"/>
    <w:rsid w:val="00ED5169"/>
    <w:rsid w:val="00ED5172"/>
    <w:rsid w:val="00EE05AD"/>
    <w:rsid w:val="00EE1AED"/>
    <w:rsid w:val="00EE426D"/>
    <w:rsid w:val="00EE5D4B"/>
    <w:rsid w:val="00EF24C5"/>
    <w:rsid w:val="00EF49F0"/>
    <w:rsid w:val="00EF6626"/>
    <w:rsid w:val="00EF7B2C"/>
    <w:rsid w:val="00F00B68"/>
    <w:rsid w:val="00F01A4C"/>
    <w:rsid w:val="00F03738"/>
    <w:rsid w:val="00F11006"/>
    <w:rsid w:val="00F12C81"/>
    <w:rsid w:val="00F12FE0"/>
    <w:rsid w:val="00F23734"/>
    <w:rsid w:val="00F30BBD"/>
    <w:rsid w:val="00F36D94"/>
    <w:rsid w:val="00F42C60"/>
    <w:rsid w:val="00F448F3"/>
    <w:rsid w:val="00F54C69"/>
    <w:rsid w:val="00F559D7"/>
    <w:rsid w:val="00F55F50"/>
    <w:rsid w:val="00F57D57"/>
    <w:rsid w:val="00F61A5F"/>
    <w:rsid w:val="00F74003"/>
    <w:rsid w:val="00F86161"/>
    <w:rsid w:val="00F94A1A"/>
    <w:rsid w:val="00FA378D"/>
    <w:rsid w:val="00FA3B06"/>
    <w:rsid w:val="00FB10A2"/>
    <w:rsid w:val="00FC0930"/>
    <w:rsid w:val="00FC2200"/>
    <w:rsid w:val="00FC3B34"/>
    <w:rsid w:val="00FC3F53"/>
    <w:rsid w:val="00FC4A3B"/>
    <w:rsid w:val="00FC7BD1"/>
    <w:rsid w:val="00FD4D7E"/>
    <w:rsid w:val="00FD5851"/>
    <w:rsid w:val="00FD6995"/>
    <w:rsid w:val="00FE2877"/>
    <w:rsid w:val="00FE359C"/>
    <w:rsid w:val="00FE50DE"/>
    <w:rsid w:val="00FF30B4"/>
    <w:rsid w:val="12B84AC0"/>
    <w:rsid w:val="1F3D280F"/>
    <w:rsid w:val="22C23A62"/>
    <w:rsid w:val="26713856"/>
    <w:rsid w:val="294A48F6"/>
    <w:rsid w:val="43413246"/>
    <w:rsid w:val="7E3F05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qFormat="1" w:uiPriority="99" w:name="endnote reference"/>
    <w:lsdException w:qFormat="1"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8"/>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10">
    <w:name w:val="Default Paragraph Font"/>
    <w:semiHidden/>
    <w:unhideWhenUsed/>
    <w:uiPriority w:val="1"/>
  </w:style>
  <w:style w:type="table" w:default="1" w:styleId="9">
    <w:name w:val="Normal Table"/>
    <w:semiHidden/>
    <w:unhideWhenUsed/>
    <w:uiPriority w:val="99"/>
    <w:tblPr>
      <w:tblLayout w:type="fixed"/>
      <w:tblCellMar>
        <w:top w:w="0" w:type="dxa"/>
        <w:left w:w="108" w:type="dxa"/>
        <w:bottom w:w="0" w:type="dxa"/>
        <w:right w:w="108" w:type="dxa"/>
      </w:tblCellMar>
    </w:tblPr>
  </w:style>
  <w:style w:type="paragraph" w:styleId="3">
    <w:name w:val="endnote text"/>
    <w:basedOn w:val="1"/>
    <w:link w:val="16"/>
    <w:unhideWhenUsed/>
    <w:qFormat/>
    <w:uiPriority w:val="99"/>
    <w:pPr>
      <w:snapToGrid w:val="0"/>
      <w:jc w:val="left"/>
    </w:pPr>
  </w:style>
  <w:style w:type="paragraph" w:styleId="4">
    <w:name w:val="Balloon Text"/>
    <w:basedOn w:val="1"/>
    <w:link w:val="19"/>
    <w:semiHidden/>
    <w:unhideWhenUsed/>
    <w:uiPriority w:val="99"/>
    <w:rPr>
      <w:sz w:val="18"/>
      <w:szCs w:val="18"/>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footnote text"/>
    <w:basedOn w:val="1"/>
    <w:link w:val="17"/>
    <w:unhideWhenUsed/>
    <w:qFormat/>
    <w:uiPriority w:val="99"/>
    <w:pPr>
      <w:snapToGrid w:val="0"/>
      <w:jc w:val="left"/>
    </w:pPr>
    <w:rPr>
      <w:rFonts w:ascii="Calibri" w:hAnsi="Calibri" w:eastAsia="宋体" w:cs="Times New Roman"/>
      <w:sz w:val="18"/>
      <w:szCs w:val="18"/>
    </w:rPr>
  </w:style>
  <w:style w:type="paragraph" w:styleId="8">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11">
    <w:name w:val="endnote reference"/>
    <w:basedOn w:val="10"/>
    <w:semiHidden/>
    <w:unhideWhenUsed/>
    <w:qFormat/>
    <w:uiPriority w:val="99"/>
    <w:rPr>
      <w:vertAlign w:val="superscript"/>
    </w:rPr>
  </w:style>
  <w:style w:type="character" w:styleId="12">
    <w:name w:val="Hyperlink"/>
    <w:basedOn w:val="10"/>
    <w:unhideWhenUsed/>
    <w:qFormat/>
    <w:uiPriority w:val="99"/>
    <w:rPr>
      <w:color w:val="0000FF"/>
      <w:u w:val="single"/>
    </w:rPr>
  </w:style>
  <w:style w:type="character" w:styleId="13">
    <w:name w:val="footnote reference"/>
    <w:basedOn w:val="10"/>
    <w:unhideWhenUsed/>
    <w:qFormat/>
    <w:uiPriority w:val="99"/>
    <w:rPr>
      <w:vertAlign w:val="superscript"/>
    </w:rPr>
  </w:style>
  <w:style w:type="character" w:customStyle="1" w:styleId="14">
    <w:name w:val="页眉 字符"/>
    <w:basedOn w:val="10"/>
    <w:link w:val="6"/>
    <w:uiPriority w:val="99"/>
    <w:rPr>
      <w:sz w:val="18"/>
      <w:szCs w:val="18"/>
    </w:rPr>
  </w:style>
  <w:style w:type="character" w:customStyle="1" w:styleId="15">
    <w:name w:val="页脚 字符"/>
    <w:basedOn w:val="10"/>
    <w:link w:val="5"/>
    <w:qFormat/>
    <w:uiPriority w:val="99"/>
    <w:rPr>
      <w:sz w:val="18"/>
      <w:szCs w:val="18"/>
    </w:rPr>
  </w:style>
  <w:style w:type="character" w:customStyle="1" w:styleId="16">
    <w:name w:val="尾注文本 字符"/>
    <w:basedOn w:val="10"/>
    <w:link w:val="3"/>
    <w:qFormat/>
    <w:uiPriority w:val="99"/>
  </w:style>
  <w:style w:type="character" w:customStyle="1" w:styleId="17">
    <w:name w:val="脚注文本 字符"/>
    <w:basedOn w:val="10"/>
    <w:link w:val="7"/>
    <w:qFormat/>
    <w:uiPriority w:val="99"/>
    <w:rPr>
      <w:rFonts w:ascii="Calibri" w:hAnsi="Calibri" w:eastAsia="宋体" w:cs="Times New Roman"/>
      <w:sz w:val="18"/>
      <w:szCs w:val="18"/>
    </w:rPr>
  </w:style>
  <w:style w:type="character" w:customStyle="1" w:styleId="18">
    <w:name w:val="标题 2 字符"/>
    <w:basedOn w:val="10"/>
    <w:link w:val="2"/>
    <w:qFormat/>
    <w:uiPriority w:val="9"/>
    <w:rPr>
      <w:rFonts w:ascii="宋体" w:hAnsi="宋体" w:eastAsia="宋体" w:cs="宋体"/>
      <w:b/>
      <w:bCs/>
      <w:kern w:val="0"/>
      <w:sz w:val="36"/>
      <w:szCs w:val="36"/>
    </w:rPr>
  </w:style>
  <w:style w:type="character" w:customStyle="1" w:styleId="19">
    <w:name w:val="批注框文本 字符"/>
    <w:basedOn w:val="10"/>
    <w:link w:val="4"/>
    <w:semiHidden/>
    <w:qFormat/>
    <w:uiPriority w:val="99"/>
    <w:rPr>
      <w:sz w:val="18"/>
      <w:szCs w:val="18"/>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footnotes" Target="footnotes.xml"/>
  <Relationship Id="rId4" Type="http://schemas.openxmlformats.org/officeDocument/2006/relationships/endnotes" Target="endnotes.xml"/>
  <Relationship Id="rId5" Type="http://schemas.openxmlformats.org/officeDocument/2006/relationships/theme" Target="theme/theme1.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BB67D41-8AEA-44FA-92A8-7761C07778C7}">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1272</Words>
  <Characters>7253</Characters>
  <Lines>60</Lines>
  <Paragraphs>17</Paragraphs>
  <TotalTime>0</TotalTime>
  <ScaleCrop>false</ScaleCrop>
  <LinksUpToDate>false</LinksUpToDate>
  <CharactersWithSpaces>8508</CharactersWithSpaces>
  <Application>WPS Office_11.1.0.8765_F1E327BC-269C-435d-A152-05C5408002CA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2018-08-20T12:03:00Z</dcterms:created>
  <dc:creator>陶芳铭</dc:creator>
  <lastModifiedBy>HH</lastModifiedBy>
  <lastPrinted>2018-08-20T12:03:00Z</lastPrinted>
  <dcterms:modified xsi:type="dcterms:W3CDTF">2019-10-29T03:44:45Z</dcterms:modified>
  <revision>446</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2052-11.1.0.8765</vt:lpwstr>
  </property>
</Properties>
</file>